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656C5DE8" w:rsidR="00B0687D" w:rsidRPr="003C6CA5" w:rsidRDefault="003C6CA5" w:rsidP="00D75B14">
      <w:pPr>
        <w:pStyle w:val="Title"/>
        <w:rPr>
          <w:u w:val="single"/>
        </w:rPr>
      </w:pPr>
      <w:r>
        <w:t>Consumption (C)</w:t>
      </w:r>
    </w:p>
    <w:p w14:paraId="64AC759E" w14:textId="3D168D1B" w:rsidR="00CE3B83" w:rsidRDefault="00CE3B83" w:rsidP="006D45C1">
      <w:pPr>
        <w:pStyle w:val="Heading1"/>
      </w:pPr>
      <w:bookmarkStart w:id="0" w:name="_Hlk85712430"/>
      <w:r>
        <w:t>Starter: Discussion Question</w:t>
      </w:r>
    </w:p>
    <w:p w14:paraId="3B0B2975" w14:textId="77777777" w:rsidR="00CE3B83" w:rsidRDefault="00CE3B83" w:rsidP="00CE3B83">
      <w:pPr>
        <w:spacing w:after="0"/>
        <w:rPr>
          <w:b/>
          <w:bCs/>
          <w:u w:val="single"/>
        </w:rPr>
      </w:pPr>
      <w:r>
        <w:rPr>
          <w:b/>
          <w:bCs/>
          <w:u w:val="single"/>
        </w:rPr>
        <w:t>Instructions:</w:t>
      </w:r>
    </w:p>
    <w:p w14:paraId="36423C68" w14:textId="77777777" w:rsidR="00CE3B83" w:rsidRDefault="00CE3B83" w:rsidP="00CE3B83">
      <w:pPr>
        <w:pStyle w:val="ListParagraph"/>
        <w:numPr>
          <w:ilvl w:val="0"/>
          <w:numId w:val="7"/>
        </w:numPr>
      </w:pPr>
      <w:r>
        <w:t>Individually consider the below questions</w:t>
      </w:r>
    </w:p>
    <w:p w14:paraId="26141F86" w14:textId="77777777" w:rsidR="00CE3B83" w:rsidRDefault="00CE3B83" w:rsidP="00CE3B83">
      <w:pPr>
        <w:pStyle w:val="ListParagraph"/>
        <w:numPr>
          <w:ilvl w:val="0"/>
          <w:numId w:val="7"/>
        </w:numPr>
      </w:pPr>
      <w:r>
        <w:t>Discuss your thoughts with a partner</w:t>
      </w:r>
    </w:p>
    <w:p w14:paraId="6D0A24EE" w14:textId="77777777" w:rsidR="00CE3B83" w:rsidRDefault="00CE3B83" w:rsidP="00CE3B83">
      <w:pPr>
        <w:pStyle w:val="ListParagraph"/>
        <w:numPr>
          <w:ilvl w:val="0"/>
          <w:numId w:val="7"/>
        </w:numPr>
      </w:pPr>
      <w:r>
        <w:t>Share your ideas with the class</w:t>
      </w:r>
    </w:p>
    <w:p w14:paraId="75780EE3" w14:textId="197B4BF6" w:rsidR="00CE3B83" w:rsidRDefault="00CE3B83" w:rsidP="00CE3B83">
      <w:pPr>
        <w:jc w:val="center"/>
        <w:rPr>
          <w:i/>
          <w:iCs/>
        </w:rPr>
      </w:pPr>
      <w:r>
        <w:rPr>
          <w:i/>
          <w:iCs/>
        </w:rPr>
        <w:t>What do households spend money on?</w:t>
      </w:r>
    </w:p>
    <w:tbl>
      <w:tblPr>
        <w:tblStyle w:val="TableGrid"/>
        <w:tblW w:w="0" w:type="auto"/>
        <w:tblLook w:val="04A0" w:firstRow="1" w:lastRow="0" w:firstColumn="1" w:lastColumn="0" w:noHBand="0" w:noVBand="1"/>
      </w:tblPr>
      <w:tblGrid>
        <w:gridCol w:w="10456"/>
      </w:tblGrid>
      <w:tr w:rsidR="00CE3B83" w14:paraId="5B2DF182" w14:textId="77777777" w:rsidTr="00A84DCE">
        <w:trPr>
          <w:trHeight w:val="4543"/>
        </w:trPr>
        <w:tc>
          <w:tcPr>
            <w:tcW w:w="10456" w:type="dxa"/>
          </w:tcPr>
          <w:bookmarkEnd w:id="0"/>
          <w:p w14:paraId="23BB1554" w14:textId="77777777" w:rsidR="00CE3B83" w:rsidRDefault="00CE3B83" w:rsidP="00FB28CF">
            <w:r>
              <w:t>Note Space:</w:t>
            </w:r>
          </w:p>
        </w:tc>
      </w:tr>
    </w:tbl>
    <w:p w14:paraId="54C84664" w14:textId="489DB16D" w:rsidR="006D45C1" w:rsidRPr="00A731F9" w:rsidRDefault="006D45C1" w:rsidP="006D45C1">
      <w:pPr>
        <w:pStyle w:val="Heading1"/>
      </w:pPr>
      <w:r w:rsidRPr="00A731F9">
        <w:t>Presentation</w:t>
      </w:r>
      <w:r>
        <w:t xml:space="preserve"> </w:t>
      </w:r>
      <w:r w:rsidR="00CE2ABF">
        <w:t>1</w:t>
      </w:r>
      <w:r>
        <w:t xml:space="preserve"> – </w:t>
      </w:r>
      <w:r w:rsidR="00CE2ABF">
        <w:t>Intro to Consumption</w:t>
      </w:r>
    </w:p>
    <w:p w14:paraId="02222C33" w14:textId="77777777" w:rsidR="00CE2ABF" w:rsidRDefault="00CE2ABF" w:rsidP="00CE2ABF">
      <w:r>
        <w:t>Complete the activities below so as to have a complete set of notes:</w:t>
      </w:r>
    </w:p>
    <w:p w14:paraId="0277E23D" w14:textId="1E3775EE" w:rsidR="00CE2ABF" w:rsidRDefault="00CE2ABF" w:rsidP="00CE2ABF">
      <w:pPr>
        <w:rPr>
          <w:i/>
          <w:iCs/>
        </w:rPr>
      </w:pPr>
      <w:r w:rsidRPr="00895935">
        <w:rPr>
          <w:b/>
          <w:bCs/>
          <w:u w:val="single"/>
        </w:rPr>
        <w:t>Definition:</w:t>
      </w:r>
      <w:r>
        <w:t xml:space="preserve"> </w:t>
      </w:r>
      <w:r>
        <w:rPr>
          <w:i/>
          <w:iCs/>
        </w:rPr>
        <w:t>Consumption</w:t>
      </w:r>
    </w:p>
    <w:p w14:paraId="1050C6FE" w14:textId="77777777" w:rsidR="00CE2ABF" w:rsidRDefault="00CE2ABF" w:rsidP="00CE2ABF">
      <w:pPr>
        <w:rPr>
          <w:bCs/>
          <w:color w:val="333333"/>
          <w:szCs w:val="40"/>
        </w:rPr>
      </w:pPr>
      <w:r>
        <w:rPr>
          <w:bCs/>
          <w:color w:val="333333"/>
          <w:szCs w:val="40"/>
        </w:rPr>
        <w:t>……………………………………………………………………………………………………………………………………………………………………………………</w:t>
      </w:r>
    </w:p>
    <w:p w14:paraId="05EEB5A6" w14:textId="77777777" w:rsidR="00CE2ABF" w:rsidRDefault="00CE2ABF" w:rsidP="00CE2ABF">
      <w:pPr>
        <w:rPr>
          <w:bCs/>
          <w:color w:val="333333"/>
          <w:szCs w:val="40"/>
        </w:rPr>
      </w:pPr>
      <w:r>
        <w:rPr>
          <w:bCs/>
          <w:color w:val="333333"/>
          <w:szCs w:val="40"/>
        </w:rPr>
        <w:t>……………………………………………………………………………………………………………………………………………………………………………………</w:t>
      </w:r>
    </w:p>
    <w:p w14:paraId="2857F8D8" w14:textId="77777777" w:rsidR="00CE3B83" w:rsidRPr="00CE3B83" w:rsidRDefault="00CE3B83" w:rsidP="00CE3B83">
      <w:pPr>
        <w:ind w:left="720"/>
      </w:pPr>
      <w:r w:rsidRPr="00CE3B83">
        <w:t xml:space="preserve">This includes demand for durables e.g. audio-visual equipment and vehicles &amp; non-durable goods such as food and drinks which are “consumed” and must be re-purchased. </w:t>
      </w:r>
    </w:p>
    <w:p w14:paraId="51F235A2" w14:textId="77777777" w:rsidR="00CE3B83" w:rsidRPr="00CE3B83" w:rsidRDefault="00CE3B83" w:rsidP="00CE3B83">
      <w:pPr>
        <w:ind w:left="720"/>
        <w:rPr>
          <w:i/>
          <w:iCs/>
        </w:rPr>
      </w:pPr>
      <w:r w:rsidRPr="00CE3B83">
        <w:rPr>
          <w:i/>
          <w:iCs/>
        </w:rPr>
        <w:t>Stat:</w:t>
      </w:r>
      <w:r w:rsidRPr="00CE3B83">
        <w:rPr>
          <w:b/>
          <w:bCs/>
          <w:i/>
          <w:iCs/>
        </w:rPr>
        <w:t xml:space="preserve"> </w:t>
      </w:r>
      <w:r w:rsidRPr="00CE3B83">
        <w:t>Consumption made up 66% of UK GDP in 2018</w:t>
      </w:r>
    </w:p>
    <w:p w14:paraId="2AA2CA5E" w14:textId="77777777" w:rsidR="00A84DCE" w:rsidRDefault="00A84DCE" w:rsidP="00A84DCE">
      <w:pPr>
        <w:rPr>
          <w:b/>
          <w:bCs/>
        </w:rPr>
      </w:pPr>
    </w:p>
    <w:p w14:paraId="423A4F37" w14:textId="39A20D3A" w:rsidR="00A84DCE" w:rsidRDefault="00A84DCE" w:rsidP="00A84DCE">
      <w:pPr>
        <w:rPr>
          <w:i/>
          <w:iCs/>
        </w:rPr>
      </w:pPr>
      <w:r w:rsidRPr="00895935">
        <w:rPr>
          <w:b/>
          <w:bCs/>
          <w:u w:val="single"/>
        </w:rPr>
        <w:t>Definition:</w:t>
      </w:r>
      <w:r>
        <w:t xml:space="preserve"> </w:t>
      </w:r>
      <w:r>
        <w:rPr>
          <w:i/>
          <w:iCs/>
        </w:rPr>
        <w:t>Average Propensity to Consume</w:t>
      </w:r>
    </w:p>
    <w:p w14:paraId="51FDCD5E" w14:textId="77777777" w:rsidR="00A84DCE" w:rsidRDefault="00A84DCE" w:rsidP="00A84DCE">
      <w:pPr>
        <w:rPr>
          <w:bCs/>
          <w:color w:val="333333"/>
          <w:szCs w:val="40"/>
        </w:rPr>
      </w:pPr>
      <w:r>
        <w:rPr>
          <w:bCs/>
          <w:color w:val="333333"/>
          <w:szCs w:val="40"/>
        </w:rPr>
        <w:t>……………………………………………………………………………………………………………………………………………………………………………………</w:t>
      </w:r>
    </w:p>
    <w:p w14:paraId="10BC6791" w14:textId="77777777" w:rsidR="00A84DCE" w:rsidRDefault="00A84DCE" w:rsidP="00A84DCE">
      <w:pPr>
        <w:rPr>
          <w:bCs/>
          <w:color w:val="333333"/>
          <w:szCs w:val="40"/>
        </w:rPr>
      </w:pPr>
      <w:r>
        <w:rPr>
          <w:bCs/>
          <w:color w:val="333333"/>
          <w:szCs w:val="40"/>
        </w:rPr>
        <w:t>……………………………………………………………………………………………………………………………………………………………………………………</w:t>
      </w:r>
    </w:p>
    <w:p w14:paraId="767D6657" w14:textId="5627286C" w:rsidR="00A84DCE" w:rsidRPr="009C14E4" w:rsidRDefault="00A84DCE" w:rsidP="00A84DCE">
      <w:pPr>
        <w:ind w:firstLine="360"/>
        <w:rPr>
          <w:rFonts w:ascii="Cambria Math" w:hAnsi="Cambria Math"/>
          <w:i/>
          <w:iCs/>
          <w:sz w:val="36"/>
          <w:szCs w:val="36"/>
        </w:rPr>
      </w:pPr>
      <w:r w:rsidRPr="009C14E4">
        <w:rPr>
          <w:rFonts w:ascii="Cambria Math" w:hAnsi="Cambria Math"/>
          <w:i/>
          <w:iCs/>
          <w:sz w:val="36"/>
          <w:szCs w:val="36"/>
        </w:rPr>
        <w:t xml:space="preserve">Equation: </w:t>
      </w:r>
    </w:p>
    <w:p w14:paraId="661AE2EC" w14:textId="77777777" w:rsidR="00A84DCE" w:rsidRPr="00A84DCE" w:rsidRDefault="00A84DCE" w:rsidP="00A84DCE">
      <w:pPr>
        <w:ind w:firstLine="360"/>
      </w:pPr>
      <w:r w:rsidRPr="00A84DCE">
        <w:rPr>
          <w:i/>
          <w:iCs/>
        </w:rPr>
        <w:t>Example:</w:t>
      </w:r>
      <w:r w:rsidRPr="00A84DCE">
        <w:rPr>
          <w:b/>
          <w:bCs/>
        </w:rPr>
        <w:t xml:space="preserve"> </w:t>
      </w:r>
      <w:r w:rsidRPr="00A84DCE">
        <w:t xml:space="preserve">Sarah’s wage after allowing for tax is £500 per week; of this, she spends £450 per week in total. </w:t>
      </w:r>
    </w:p>
    <w:p w14:paraId="30806249" w14:textId="130A79E4" w:rsidR="00A84DCE" w:rsidRPr="00A84DCE" w:rsidRDefault="00A84DCE" w:rsidP="00A84DCE">
      <w:pPr>
        <w:ind w:firstLine="720"/>
      </w:pPr>
      <w:r w:rsidRPr="00A84DCE">
        <w:t xml:space="preserve">Sarah’s APC is </w:t>
      </w:r>
      <w:r>
        <w:t>______________</w:t>
      </w:r>
    </w:p>
    <w:p w14:paraId="07F33597" w14:textId="75ABD09B" w:rsidR="00A84DCE" w:rsidRDefault="00A84DCE" w:rsidP="00A84DCE">
      <w:pPr>
        <w:rPr>
          <w:i/>
          <w:iCs/>
        </w:rPr>
      </w:pPr>
      <w:r w:rsidRPr="00895935">
        <w:rPr>
          <w:b/>
          <w:bCs/>
          <w:u w:val="single"/>
        </w:rPr>
        <w:lastRenderedPageBreak/>
        <w:t>Definition:</w:t>
      </w:r>
      <w:r>
        <w:t xml:space="preserve"> </w:t>
      </w:r>
      <w:r>
        <w:rPr>
          <w:i/>
          <w:iCs/>
        </w:rPr>
        <w:t>Marginal Propensity to Consume</w:t>
      </w:r>
    </w:p>
    <w:p w14:paraId="185B84B3" w14:textId="77777777" w:rsidR="00A84DCE" w:rsidRDefault="00A84DCE" w:rsidP="00A84DCE">
      <w:pPr>
        <w:rPr>
          <w:bCs/>
          <w:color w:val="333333"/>
          <w:szCs w:val="40"/>
        </w:rPr>
      </w:pPr>
      <w:r>
        <w:rPr>
          <w:bCs/>
          <w:color w:val="333333"/>
          <w:szCs w:val="40"/>
        </w:rPr>
        <w:t>……………………………………………………………………………………………………………………………………………………………………………………</w:t>
      </w:r>
    </w:p>
    <w:p w14:paraId="09FE8C44" w14:textId="415977FF" w:rsidR="00A84DCE" w:rsidRDefault="00A84DCE" w:rsidP="00A84DCE">
      <w:pPr>
        <w:rPr>
          <w:bCs/>
          <w:color w:val="333333"/>
          <w:szCs w:val="40"/>
        </w:rPr>
      </w:pPr>
      <w:r>
        <w:rPr>
          <w:bCs/>
          <w:color w:val="333333"/>
          <w:szCs w:val="40"/>
        </w:rPr>
        <w:t>……………………………………………………………………………………………………………………………………………………………………………………</w:t>
      </w:r>
    </w:p>
    <w:p w14:paraId="205D49E8" w14:textId="460D31F5" w:rsidR="00A84DCE" w:rsidRPr="00A84DCE" w:rsidRDefault="00A84DCE" w:rsidP="00A84DCE">
      <w:pPr>
        <w:ind w:firstLine="360"/>
      </w:pPr>
      <w:r w:rsidRPr="00A84DCE">
        <w:rPr>
          <w:i/>
          <w:iCs/>
        </w:rPr>
        <w:t>Marginal:</w:t>
      </w:r>
      <w:r w:rsidRPr="00A84DCE">
        <w:rPr>
          <w:b/>
          <w:bCs/>
        </w:rPr>
        <w:t xml:space="preserve"> </w:t>
      </w:r>
      <w:r w:rsidRPr="00A84DCE">
        <w:t xml:space="preserve">refers to incremental change to one variable from an additional unit to another. </w:t>
      </w:r>
      <w:r w:rsidRPr="00A84DCE">
        <w:rPr>
          <w:b/>
          <w:bCs/>
        </w:rPr>
        <w:t>​</w:t>
      </w:r>
    </w:p>
    <w:p w14:paraId="0557B9E4" w14:textId="77777777" w:rsidR="00A84DCE" w:rsidRPr="009C14E4" w:rsidRDefault="00A84DCE" w:rsidP="00A84DCE">
      <w:pPr>
        <w:ind w:firstLine="360"/>
        <w:rPr>
          <w:rFonts w:ascii="Cambria Math" w:hAnsi="Cambria Math"/>
          <w:i/>
          <w:iCs/>
          <w:sz w:val="36"/>
          <w:szCs w:val="36"/>
        </w:rPr>
      </w:pPr>
      <w:r w:rsidRPr="009C14E4">
        <w:rPr>
          <w:rFonts w:ascii="Cambria Math" w:hAnsi="Cambria Math"/>
          <w:i/>
          <w:iCs/>
          <w:sz w:val="36"/>
          <w:szCs w:val="36"/>
        </w:rPr>
        <w:t xml:space="preserve">Equation: </w:t>
      </w:r>
    </w:p>
    <w:p w14:paraId="63E4A812" w14:textId="77777777" w:rsidR="00A84DCE" w:rsidRPr="00A84DCE" w:rsidRDefault="00A84DCE" w:rsidP="00A84DCE">
      <w:pPr>
        <w:ind w:left="360"/>
      </w:pPr>
      <w:r w:rsidRPr="00A84DCE">
        <w:rPr>
          <w:i/>
          <w:iCs/>
        </w:rPr>
        <w:t>Example:</w:t>
      </w:r>
      <w:r w:rsidRPr="00A84DCE">
        <w:rPr>
          <w:b/>
          <w:bCs/>
        </w:rPr>
        <w:t xml:space="preserve"> </w:t>
      </w:r>
      <w:r w:rsidRPr="00A84DCE">
        <w:t xml:space="preserve">Sarah’s wage after allowing for tax, rises to £600 per week; of this, she now spends £500 per week in total. </w:t>
      </w:r>
    </w:p>
    <w:p w14:paraId="5610961A" w14:textId="2DB0EFEB" w:rsidR="00A84DCE" w:rsidRPr="00A84DCE" w:rsidRDefault="00A84DCE" w:rsidP="00A84DCE">
      <w:pPr>
        <w:ind w:firstLine="720"/>
      </w:pPr>
      <w:r w:rsidRPr="00A84DCE">
        <w:t xml:space="preserve">Sarah’s MPC is </w:t>
      </w:r>
      <w:r>
        <w:t>______________</w:t>
      </w:r>
    </w:p>
    <w:p w14:paraId="50B3FCC2" w14:textId="67EBA903" w:rsidR="00CE2ABF" w:rsidRDefault="00A84DCE" w:rsidP="00C46E79">
      <w:pPr>
        <w:pStyle w:val="Heading1"/>
      </w:pPr>
      <w:r>
        <w:t>Maths Task: MPC and APC calculations</w:t>
      </w:r>
    </w:p>
    <w:p w14:paraId="56BFC1F6" w14:textId="718323EE" w:rsidR="00A84DCE" w:rsidRPr="00A84DCE" w:rsidRDefault="00A84DCE" w:rsidP="00CE2ABF">
      <w:r>
        <w:rPr>
          <w:b/>
          <w:bCs/>
          <w:u w:val="single"/>
        </w:rPr>
        <w:t>Instructions:</w:t>
      </w:r>
      <w:r>
        <w:t xml:space="preserve"> Complete the table by calculating the APC and MPC for the below individual at their different weekly income</w:t>
      </w:r>
    </w:p>
    <w:tbl>
      <w:tblPr>
        <w:tblStyle w:val="TableGrid"/>
        <w:tblW w:w="10616" w:type="dxa"/>
        <w:tblLook w:val="04A0" w:firstRow="1" w:lastRow="0" w:firstColumn="1" w:lastColumn="0" w:noHBand="0" w:noVBand="1"/>
      </w:tblPr>
      <w:tblGrid>
        <w:gridCol w:w="2654"/>
        <w:gridCol w:w="2654"/>
        <w:gridCol w:w="2654"/>
        <w:gridCol w:w="2654"/>
      </w:tblGrid>
      <w:tr w:rsidR="00A84DCE" w:rsidRPr="00423B3D" w14:paraId="7C9B810A" w14:textId="77777777" w:rsidTr="00C46E79">
        <w:trPr>
          <w:trHeight w:val="424"/>
        </w:trPr>
        <w:tc>
          <w:tcPr>
            <w:tcW w:w="2654" w:type="dxa"/>
            <w:vAlign w:val="center"/>
          </w:tcPr>
          <w:p w14:paraId="0841BEEF" w14:textId="30F17695" w:rsidR="00A84DCE" w:rsidRPr="00423B3D" w:rsidRDefault="00A84DCE" w:rsidP="00FB28CF">
            <w:pPr>
              <w:jc w:val="center"/>
              <w:rPr>
                <w:b/>
                <w:bCs/>
              </w:rPr>
            </w:pPr>
            <w:r>
              <w:rPr>
                <w:b/>
                <w:bCs/>
              </w:rPr>
              <w:t>Weekly Income after tax (£)</w:t>
            </w:r>
          </w:p>
        </w:tc>
        <w:tc>
          <w:tcPr>
            <w:tcW w:w="2654" w:type="dxa"/>
          </w:tcPr>
          <w:p w14:paraId="40F19FA5" w14:textId="47925966" w:rsidR="00A84DCE" w:rsidRPr="00423B3D" w:rsidRDefault="00A84DCE" w:rsidP="00FB28CF">
            <w:pPr>
              <w:jc w:val="center"/>
              <w:rPr>
                <w:b/>
                <w:bCs/>
              </w:rPr>
            </w:pPr>
            <w:r>
              <w:rPr>
                <w:b/>
                <w:bCs/>
              </w:rPr>
              <w:t>Weekly spending (3)</w:t>
            </w:r>
          </w:p>
        </w:tc>
        <w:tc>
          <w:tcPr>
            <w:tcW w:w="2654" w:type="dxa"/>
            <w:vAlign w:val="center"/>
          </w:tcPr>
          <w:p w14:paraId="5D46795D" w14:textId="171E6905" w:rsidR="00A84DCE" w:rsidRPr="00423B3D" w:rsidRDefault="00A84DCE" w:rsidP="00FB28CF">
            <w:pPr>
              <w:jc w:val="center"/>
              <w:rPr>
                <w:b/>
                <w:bCs/>
              </w:rPr>
            </w:pPr>
            <w:r>
              <w:rPr>
                <w:b/>
                <w:bCs/>
              </w:rPr>
              <w:t>APC</w:t>
            </w:r>
          </w:p>
        </w:tc>
        <w:tc>
          <w:tcPr>
            <w:tcW w:w="2654" w:type="dxa"/>
            <w:vAlign w:val="center"/>
          </w:tcPr>
          <w:p w14:paraId="73AADADF" w14:textId="2BC2571E" w:rsidR="00A84DCE" w:rsidRPr="00423B3D" w:rsidRDefault="00A84DCE" w:rsidP="00FB28CF">
            <w:pPr>
              <w:jc w:val="center"/>
              <w:rPr>
                <w:b/>
                <w:bCs/>
              </w:rPr>
            </w:pPr>
            <w:r w:rsidRPr="00423B3D">
              <w:rPr>
                <w:b/>
                <w:bCs/>
              </w:rPr>
              <w:t>M</w:t>
            </w:r>
            <w:r>
              <w:rPr>
                <w:b/>
                <w:bCs/>
              </w:rPr>
              <w:t>PC</w:t>
            </w:r>
          </w:p>
        </w:tc>
      </w:tr>
      <w:tr w:rsidR="00A84DCE" w14:paraId="175A10E6" w14:textId="77777777" w:rsidTr="00C46E79">
        <w:trPr>
          <w:trHeight w:val="218"/>
        </w:trPr>
        <w:tc>
          <w:tcPr>
            <w:tcW w:w="2654" w:type="dxa"/>
            <w:vMerge w:val="restart"/>
            <w:vAlign w:val="center"/>
          </w:tcPr>
          <w:p w14:paraId="74B2495A" w14:textId="77777777" w:rsidR="00A84DCE" w:rsidRDefault="00A84DCE" w:rsidP="00FB28CF">
            <w:pPr>
              <w:jc w:val="center"/>
            </w:pPr>
            <w:r>
              <w:t>0</w:t>
            </w:r>
          </w:p>
        </w:tc>
        <w:tc>
          <w:tcPr>
            <w:tcW w:w="2654" w:type="dxa"/>
            <w:vMerge w:val="restart"/>
          </w:tcPr>
          <w:p w14:paraId="0C90EA45" w14:textId="22B53DAB" w:rsidR="00A84DCE" w:rsidRDefault="00C46E79" w:rsidP="00FB28CF">
            <w:pPr>
              <w:jc w:val="center"/>
            </w:pPr>
            <w:r>
              <w:t>0</w:t>
            </w:r>
          </w:p>
        </w:tc>
        <w:tc>
          <w:tcPr>
            <w:tcW w:w="2654" w:type="dxa"/>
            <w:vMerge w:val="restart"/>
            <w:vAlign w:val="center"/>
          </w:tcPr>
          <w:p w14:paraId="76B4F11C" w14:textId="6A9DBFBD" w:rsidR="00A84DCE" w:rsidRDefault="00A84DCE" w:rsidP="00FB28CF">
            <w:pPr>
              <w:jc w:val="center"/>
            </w:pPr>
          </w:p>
        </w:tc>
        <w:tc>
          <w:tcPr>
            <w:tcW w:w="2654" w:type="dxa"/>
            <w:shd w:val="clear" w:color="auto" w:fill="2C2C2C" w:themeFill="background1"/>
            <w:vAlign w:val="center"/>
          </w:tcPr>
          <w:p w14:paraId="1692C346" w14:textId="77777777" w:rsidR="00A84DCE" w:rsidRDefault="00A84DCE" w:rsidP="00FB28CF">
            <w:pPr>
              <w:jc w:val="center"/>
            </w:pPr>
          </w:p>
        </w:tc>
      </w:tr>
      <w:tr w:rsidR="00A84DCE" w14:paraId="366AEF41" w14:textId="77777777" w:rsidTr="00C46E79">
        <w:trPr>
          <w:trHeight w:val="285"/>
        </w:trPr>
        <w:tc>
          <w:tcPr>
            <w:tcW w:w="2654" w:type="dxa"/>
            <w:vMerge/>
            <w:vAlign w:val="center"/>
          </w:tcPr>
          <w:p w14:paraId="7547116E" w14:textId="77777777" w:rsidR="00A84DCE" w:rsidRDefault="00A84DCE" w:rsidP="00FB28CF">
            <w:pPr>
              <w:jc w:val="center"/>
            </w:pPr>
          </w:p>
        </w:tc>
        <w:tc>
          <w:tcPr>
            <w:tcW w:w="2654" w:type="dxa"/>
            <w:vMerge/>
          </w:tcPr>
          <w:p w14:paraId="51F87A77" w14:textId="77777777" w:rsidR="00A84DCE" w:rsidRDefault="00A84DCE" w:rsidP="00FB28CF">
            <w:pPr>
              <w:jc w:val="center"/>
            </w:pPr>
          </w:p>
        </w:tc>
        <w:tc>
          <w:tcPr>
            <w:tcW w:w="2654" w:type="dxa"/>
            <w:vMerge/>
            <w:vAlign w:val="center"/>
          </w:tcPr>
          <w:p w14:paraId="4274ACE9" w14:textId="2E78238C" w:rsidR="00A84DCE" w:rsidRDefault="00A84DCE" w:rsidP="00FB28CF">
            <w:pPr>
              <w:jc w:val="center"/>
            </w:pPr>
          </w:p>
        </w:tc>
        <w:tc>
          <w:tcPr>
            <w:tcW w:w="2654" w:type="dxa"/>
            <w:vMerge w:val="restart"/>
            <w:shd w:val="clear" w:color="auto" w:fill="auto"/>
            <w:vAlign w:val="center"/>
          </w:tcPr>
          <w:p w14:paraId="111A3B8B" w14:textId="107DC5A6" w:rsidR="00A84DCE" w:rsidRDefault="00A84DCE" w:rsidP="00FB28CF">
            <w:pPr>
              <w:jc w:val="center"/>
            </w:pPr>
          </w:p>
        </w:tc>
      </w:tr>
      <w:tr w:rsidR="00A84DCE" w14:paraId="1FEF77FB" w14:textId="77777777" w:rsidTr="00C46E79">
        <w:trPr>
          <w:trHeight w:val="285"/>
        </w:trPr>
        <w:tc>
          <w:tcPr>
            <w:tcW w:w="2654" w:type="dxa"/>
            <w:vMerge w:val="restart"/>
            <w:vAlign w:val="center"/>
          </w:tcPr>
          <w:p w14:paraId="3F696D73" w14:textId="3FAE111E" w:rsidR="00A84DCE" w:rsidRDefault="00A84DCE" w:rsidP="00FB28CF">
            <w:pPr>
              <w:jc w:val="center"/>
            </w:pPr>
            <w:r>
              <w:t>1</w:t>
            </w:r>
            <w:r w:rsidR="00C46E79">
              <w:t>00</w:t>
            </w:r>
          </w:p>
        </w:tc>
        <w:tc>
          <w:tcPr>
            <w:tcW w:w="2654" w:type="dxa"/>
            <w:vMerge w:val="restart"/>
          </w:tcPr>
          <w:p w14:paraId="57674090" w14:textId="07D3D970" w:rsidR="00A84DCE" w:rsidRDefault="00C46E79" w:rsidP="00FB28CF">
            <w:pPr>
              <w:jc w:val="center"/>
            </w:pPr>
            <w:r>
              <w:t>100</w:t>
            </w:r>
          </w:p>
        </w:tc>
        <w:tc>
          <w:tcPr>
            <w:tcW w:w="2654" w:type="dxa"/>
            <w:vMerge w:val="restart"/>
            <w:vAlign w:val="center"/>
          </w:tcPr>
          <w:p w14:paraId="4A98B0A4" w14:textId="40D19784" w:rsidR="00A84DCE" w:rsidRDefault="00A84DCE" w:rsidP="00FB28CF">
            <w:pPr>
              <w:jc w:val="center"/>
            </w:pPr>
          </w:p>
        </w:tc>
        <w:tc>
          <w:tcPr>
            <w:tcW w:w="2654" w:type="dxa"/>
            <w:vMerge/>
            <w:shd w:val="clear" w:color="auto" w:fill="auto"/>
            <w:vAlign w:val="center"/>
          </w:tcPr>
          <w:p w14:paraId="5EBD5194" w14:textId="77777777" w:rsidR="00A84DCE" w:rsidRDefault="00A84DCE" w:rsidP="00FB28CF">
            <w:pPr>
              <w:jc w:val="center"/>
            </w:pPr>
          </w:p>
        </w:tc>
      </w:tr>
      <w:tr w:rsidR="00A84DCE" w14:paraId="1DE2B9D9" w14:textId="77777777" w:rsidTr="00C46E79">
        <w:trPr>
          <w:trHeight w:val="285"/>
        </w:trPr>
        <w:tc>
          <w:tcPr>
            <w:tcW w:w="2654" w:type="dxa"/>
            <w:vMerge/>
            <w:vAlign w:val="center"/>
          </w:tcPr>
          <w:p w14:paraId="40DA8A29" w14:textId="77777777" w:rsidR="00A84DCE" w:rsidRDefault="00A84DCE" w:rsidP="00FB28CF">
            <w:pPr>
              <w:jc w:val="center"/>
            </w:pPr>
          </w:p>
        </w:tc>
        <w:tc>
          <w:tcPr>
            <w:tcW w:w="2654" w:type="dxa"/>
            <w:vMerge/>
          </w:tcPr>
          <w:p w14:paraId="2FD1E1F8" w14:textId="77777777" w:rsidR="00A84DCE" w:rsidRDefault="00A84DCE" w:rsidP="00FB28CF">
            <w:pPr>
              <w:jc w:val="center"/>
            </w:pPr>
          </w:p>
        </w:tc>
        <w:tc>
          <w:tcPr>
            <w:tcW w:w="2654" w:type="dxa"/>
            <w:vMerge/>
            <w:vAlign w:val="center"/>
          </w:tcPr>
          <w:p w14:paraId="1AF326A8" w14:textId="2F24BF76" w:rsidR="00A84DCE" w:rsidRDefault="00A84DCE" w:rsidP="00FB28CF">
            <w:pPr>
              <w:jc w:val="center"/>
            </w:pPr>
          </w:p>
        </w:tc>
        <w:tc>
          <w:tcPr>
            <w:tcW w:w="2654" w:type="dxa"/>
            <w:vMerge w:val="restart"/>
            <w:vAlign w:val="center"/>
          </w:tcPr>
          <w:p w14:paraId="7D1EB3C0" w14:textId="44141C04" w:rsidR="00A84DCE" w:rsidRDefault="00A84DCE" w:rsidP="00FB28CF">
            <w:pPr>
              <w:jc w:val="center"/>
            </w:pPr>
          </w:p>
        </w:tc>
      </w:tr>
      <w:tr w:rsidR="00A84DCE" w14:paraId="253D46CF" w14:textId="77777777" w:rsidTr="00C46E79">
        <w:trPr>
          <w:trHeight w:val="285"/>
        </w:trPr>
        <w:tc>
          <w:tcPr>
            <w:tcW w:w="2654" w:type="dxa"/>
            <w:vMerge w:val="restart"/>
            <w:vAlign w:val="center"/>
          </w:tcPr>
          <w:p w14:paraId="1E007F4B" w14:textId="35BB69F4" w:rsidR="00A84DCE" w:rsidRDefault="00A84DCE" w:rsidP="00FB28CF">
            <w:pPr>
              <w:jc w:val="center"/>
            </w:pPr>
            <w:r>
              <w:t>2</w:t>
            </w:r>
            <w:r w:rsidR="00C46E79">
              <w:t>00</w:t>
            </w:r>
          </w:p>
        </w:tc>
        <w:tc>
          <w:tcPr>
            <w:tcW w:w="2654" w:type="dxa"/>
            <w:vMerge w:val="restart"/>
          </w:tcPr>
          <w:p w14:paraId="41F47933" w14:textId="5F8E2CEA" w:rsidR="00A84DCE" w:rsidRDefault="00C46E79" w:rsidP="00FB28CF">
            <w:pPr>
              <w:jc w:val="center"/>
            </w:pPr>
            <w:r>
              <w:t>180</w:t>
            </w:r>
          </w:p>
        </w:tc>
        <w:tc>
          <w:tcPr>
            <w:tcW w:w="2654" w:type="dxa"/>
            <w:vMerge w:val="restart"/>
            <w:vAlign w:val="center"/>
          </w:tcPr>
          <w:p w14:paraId="14202256" w14:textId="43AE8556" w:rsidR="00A84DCE" w:rsidRDefault="00A84DCE" w:rsidP="00FB28CF">
            <w:pPr>
              <w:jc w:val="center"/>
            </w:pPr>
          </w:p>
        </w:tc>
        <w:tc>
          <w:tcPr>
            <w:tcW w:w="2654" w:type="dxa"/>
            <w:vMerge/>
            <w:vAlign w:val="center"/>
          </w:tcPr>
          <w:p w14:paraId="2FD1F8A9" w14:textId="77777777" w:rsidR="00A84DCE" w:rsidRDefault="00A84DCE" w:rsidP="00FB28CF">
            <w:pPr>
              <w:jc w:val="center"/>
            </w:pPr>
          </w:p>
        </w:tc>
      </w:tr>
      <w:tr w:rsidR="00A84DCE" w14:paraId="1EE6A36F" w14:textId="77777777" w:rsidTr="00C46E79">
        <w:trPr>
          <w:trHeight w:val="285"/>
        </w:trPr>
        <w:tc>
          <w:tcPr>
            <w:tcW w:w="2654" w:type="dxa"/>
            <w:vMerge/>
            <w:vAlign w:val="center"/>
          </w:tcPr>
          <w:p w14:paraId="3AD23DC1" w14:textId="77777777" w:rsidR="00A84DCE" w:rsidRDefault="00A84DCE" w:rsidP="00FB28CF">
            <w:pPr>
              <w:jc w:val="center"/>
            </w:pPr>
          </w:p>
        </w:tc>
        <w:tc>
          <w:tcPr>
            <w:tcW w:w="2654" w:type="dxa"/>
            <w:vMerge/>
          </w:tcPr>
          <w:p w14:paraId="0BFE3280" w14:textId="77777777" w:rsidR="00A84DCE" w:rsidRDefault="00A84DCE" w:rsidP="00FB28CF">
            <w:pPr>
              <w:jc w:val="center"/>
            </w:pPr>
          </w:p>
        </w:tc>
        <w:tc>
          <w:tcPr>
            <w:tcW w:w="2654" w:type="dxa"/>
            <w:vMerge/>
            <w:vAlign w:val="center"/>
          </w:tcPr>
          <w:p w14:paraId="2E97E4B0" w14:textId="5ADA83C6" w:rsidR="00A84DCE" w:rsidRDefault="00A84DCE" w:rsidP="00FB28CF">
            <w:pPr>
              <w:jc w:val="center"/>
            </w:pPr>
          </w:p>
        </w:tc>
        <w:tc>
          <w:tcPr>
            <w:tcW w:w="2654" w:type="dxa"/>
            <w:vMerge w:val="restart"/>
            <w:vAlign w:val="center"/>
          </w:tcPr>
          <w:p w14:paraId="142D0A08" w14:textId="52838D75" w:rsidR="00A84DCE" w:rsidRDefault="00A84DCE" w:rsidP="00FB28CF">
            <w:pPr>
              <w:jc w:val="center"/>
            </w:pPr>
          </w:p>
        </w:tc>
      </w:tr>
      <w:tr w:rsidR="00A84DCE" w14:paraId="6178C8FC" w14:textId="77777777" w:rsidTr="00C46E79">
        <w:trPr>
          <w:trHeight w:val="285"/>
        </w:trPr>
        <w:tc>
          <w:tcPr>
            <w:tcW w:w="2654" w:type="dxa"/>
            <w:vMerge w:val="restart"/>
            <w:vAlign w:val="center"/>
          </w:tcPr>
          <w:p w14:paraId="11189A97" w14:textId="32CD1223" w:rsidR="00A84DCE" w:rsidRDefault="00A84DCE" w:rsidP="00FB28CF">
            <w:pPr>
              <w:jc w:val="center"/>
            </w:pPr>
            <w:r>
              <w:t>3</w:t>
            </w:r>
            <w:r w:rsidR="00C46E79">
              <w:t>00</w:t>
            </w:r>
          </w:p>
        </w:tc>
        <w:tc>
          <w:tcPr>
            <w:tcW w:w="2654" w:type="dxa"/>
            <w:vMerge w:val="restart"/>
          </w:tcPr>
          <w:p w14:paraId="175588D8" w14:textId="7CC45997" w:rsidR="00A84DCE" w:rsidRDefault="00C46E79" w:rsidP="00FB28CF">
            <w:pPr>
              <w:jc w:val="center"/>
            </w:pPr>
            <w:r>
              <w:t>240</w:t>
            </w:r>
          </w:p>
        </w:tc>
        <w:tc>
          <w:tcPr>
            <w:tcW w:w="2654" w:type="dxa"/>
            <w:vMerge w:val="restart"/>
            <w:vAlign w:val="center"/>
          </w:tcPr>
          <w:p w14:paraId="77EF4E58" w14:textId="193DFAAD" w:rsidR="00A84DCE" w:rsidRDefault="00A84DCE" w:rsidP="00FB28CF">
            <w:pPr>
              <w:jc w:val="center"/>
            </w:pPr>
          </w:p>
        </w:tc>
        <w:tc>
          <w:tcPr>
            <w:tcW w:w="2654" w:type="dxa"/>
            <w:vMerge/>
            <w:vAlign w:val="center"/>
          </w:tcPr>
          <w:p w14:paraId="329D8EB7" w14:textId="77777777" w:rsidR="00A84DCE" w:rsidRDefault="00A84DCE" w:rsidP="00FB28CF">
            <w:pPr>
              <w:jc w:val="center"/>
            </w:pPr>
          </w:p>
        </w:tc>
      </w:tr>
      <w:tr w:rsidR="00A84DCE" w14:paraId="09CEFE64" w14:textId="77777777" w:rsidTr="00C46E79">
        <w:trPr>
          <w:trHeight w:val="285"/>
        </w:trPr>
        <w:tc>
          <w:tcPr>
            <w:tcW w:w="2654" w:type="dxa"/>
            <w:vMerge/>
            <w:vAlign w:val="center"/>
          </w:tcPr>
          <w:p w14:paraId="71C368D3" w14:textId="77777777" w:rsidR="00A84DCE" w:rsidRDefault="00A84DCE" w:rsidP="00FB28CF">
            <w:pPr>
              <w:jc w:val="center"/>
            </w:pPr>
          </w:p>
        </w:tc>
        <w:tc>
          <w:tcPr>
            <w:tcW w:w="2654" w:type="dxa"/>
            <w:vMerge/>
          </w:tcPr>
          <w:p w14:paraId="1DB1078A" w14:textId="77777777" w:rsidR="00A84DCE" w:rsidRDefault="00A84DCE" w:rsidP="00FB28CF">
            <w:pPr>
              <w:jc w:val="center"/>
            </w:pPr>
          </w:p>
        </w:tc>
        <w:tc>
          <w:tcPr>
            <w:tcW w:w="2654" w:type="dxa"/>
            <w:vMerge/>
            <w:vAlign w:val="center"/>
          </w:tcPr>
          <w:p w14:paraId="70995B77" w14:textId="476F8E40" w:rsidR="00A84DCE" w:rsidRDefault="00A84DCE" w:rsidP="00FB28CF">
            <w:pPr>
              <w:jc w:val="center"/>
            </w:pPr>
          </w:p>
        </w:tc>
        <w:tc>
          <w:tcPr>
            <w:tcW w:w="2654" w:type="dxa"/>
            <w:vMerge w:val="restart"/>
            <w:vAlign w:val="center"/>
          </w:tcPr>
          <w:p w14:paraId="4656C4F6" w14:textId="1BD6B0B3" w:rsidR="00A84DCE" w:rsidRDefault="00A84DCE" w:rsidP="00FB28CF">
            <w:pPr>
              <w:jc w:val="center"/>
            </w:pPr>
          </w:p>
        </w:tc>
      </w:tr>
      <w:tr w:rsidR="00A84DCE" w14:paraId="7CDC066D" w14:textId="77777777" w:rsidTr="00C46E79">
        <w:trPr>
          <w:trHeight w:val="285"/>
        </w:trPr>
        <w:tc>
          <w:tcPr>
            <w:tcW w:w="2654" w:type="dxa"/>
            <w:vMerge w:val="restart"/>
            <w:vAlign w:val="center"/>
          </w:tcPr>
          <w:p w14:paraId="650200D1" w14:textId="550290BE" w:rsidR="00A84DCE" w:rsidRDefault="00A84DCE" w:rsidP="00FB28CF">
            <w:pPr>
              <w:jc w:val="center"/>
            </w:pPr>
            <w:r>
              <w:t>4</w:t>
            </w:r>
            <w:r w:rsidR="00C46E79">
              <w:t>00</w:t>
            </w:r>
          </w:p>
        </w:tc>
        <w:tc>
          <w:tcPr>
            <w:tcW w:w="2654" w:type="dxa"/>
            <w:vMerge w:val="restart"/>
          </w:tcPr>
          <w:p w14:paraId="2ADE9447" w14:textId="074212F9" w:rsidR="00A84DCE" w:rsidRDefault="00C46E79" w:rsidP="00FB28CF">
            <w:pPr>
              <w:jc w:val="center"/>
            </w:pPr>
            <w:r>
              <w:t>280</w:t>
            </w:r>
          </w:p>
        </w:tc>
        <w:tc>
          <w:tcPr>
            <w:tcW w:w="2654" w:type="dxa"/>
            <w:vMerge w:val="restart"/>
            <w:vAlign w:val="center"/>
          </w:tcPr>
          <w:p w14:paraId="18E63E80" w14:textId="79C68ECB" w:rsidR="00A84DCE" w:rsidRDefault="00A84DCE" w:rsidP="00FB28CF">
            <w:pPr>
              <w:jc w:val="center"/>
            </w:pPr>
          </w:p>
        </w:tc>
        <w:tc>
          <w:tcPr>
            <w:tcW w:w="2654" w:type="dxa"/>
            <w:vMerge/>
            <w:vAlign w:val="center"/>
          </w:tcPr>
          <w:p w14:paraId="53F86F8B" w14:textId="77777777" w:rsidR="00A84DCE" w:rsidRDefault="00A84DCE" w:rsidP="00FB28CF">
            <w:pPr>
              <w:jc w:val="center"/>
            </w:pPr>
          </w:p>
        </w:tc>
      </w:tr>
      <w:tr w:rsidR="00A84DCE" w14:paraId="198108C9" w14:textId="77777777" w:rsidTr="00C46E79">
        <w:trPr>
          <w:trHeight w:val="285"/>
        </w:trPr>
        <w:tc>
          <w:tcPr>
            <w:tcW w:w="2654" w:type="dxa"/>
            <w:vMerge/>
            <w:vAlign w:val="center"/>
          </w:tcPr>
          <w:p w14:paraId="1FEF891F" w14:textId="77777777" w:rsidR="00A84DCE" w:rsidRDefault="00A84DCE" w:rsidP="00FB28CF">
            <w:pPr>
              <w:jc w:val="center"/>
            </w:pPr>
          </w:p>
        </w:tc>
        <w:tc>
          <w:tcPr>
            <w:tcW w:w="2654" w:type="dxa"/>
            <w:vMerge/>
          </w:tcPr>
          <w:p w14:paraId="55DA65B0" w14:textId="77777777" w:rsidR="00A84DCE" w:rsidRDefault="00A84DCE" w:rsidP="00FB28CF">
            <w:pPr>
              <w:jc w:val="center"/>
            </w:pPr>
          </w:p>
        </w:tc>
        <w:tc>
          <w:tcPr>
            <w:tcW w:w="2654" w:type="dxa"/>
            <w:vMerge/>
            <w:vAlign w:val="center"/>
          </w:tcPr>
          <w:p w14:paraId="436C381D" w14:textId="37EB3844" w:rsidR="00A84DCE" w:rsidRDefault="00A84DCE" w:rsidP="00FB28CF">
            <w:pPr>
              <w:jc w:val="center"/>
            </w:pPr>
          </w:p>
        </w:tc>
        <w:tc>
          <w:tcPr>
            <w:tcW w:w="2654" w:type="dxa"/>
            <w:vMerge w:val="restart"/>
            <w:vAlign w:val="center"/>
          </w:tcPr>
          <w:p w14:paraId="29B17FD0" w14:textId="16458BC9" w:rsidR="00A84DCE" w:rsidRDefault="00A84DCE" w:rsidP="00FB28CF">
            <w:pPr>
              <w:jc w:val="center"/>
            </w:pPr>
          </w:p>
        </w:tc>
      </w:tr>
      <w:tr w:rsidR="00A84DCE" w14:paraId="6544B612" w14:textId="77777777" w:rsidTr="00C46E79">
        <w:trPr>
          <w:trHeight w:val="285"/>
        </w:trPr>
        <w:tc>
          <w:tcPr>
            <w:tcW w:w="2654" w:type="dxa"/>
            <w:vMerge w:val="restart"/>
            <w:vAlign w:val="center"/>
          </w:tcPr>
          <w:p w14:paraId="063ABFAB" w14:textId="3172F888" w:rsidR="00A84DCE" w:rsidRDefault="00A84DCE" w:rsidP="00FB28CF">
            <w:pPr>
              <w:jc w:val="center"/>
            </w:pPr>
            <w:r>
              <w:t>5</w:t>
            </w:r>
            <w:r w:rsidR="00C46E79">
              <w:t>00</w:t>
            </w:r>
          </w:p>
        </w:tc>
        <w:tc>
          <w:tcPr>
            <w:tcW w:w="2654" w:type="dxa"/>
            <w:vMerge w:val="restart"/>
          </w:tcPr>
          <w:p w14:paraId="4D4EEA6B" w14:textId="1ADD0585" w:rsidR="00A84DCE" w:rsidRDefault="00C46E79" w:rsidP="00FB28CF">
            <w:pPr>
              <w:jc w:val="center"/>
            </w:pPr>
            <w:r>
              <w:t>300</w:t>
            </w:r>
          </w:p>
        </w:tc>
        <w:tc>
          <w:tcPr>
            <w:tcW w:w="2654" w:type="dxa"/>
            <w:vMerge w:val="restart"/>
            <w:vAlign w:val="center"/>
          </w:tcPr>
          <w:p w14:paraId="16D7C2E3" w14:textId="5160FAAE" w:rsidR="00A84DCE" w:rsidRDefault="00A84DCE" w:rsidP="00FB28CF">
            <w:pPr>
              <w:jc w:val="center"/>
            </w:pPr>
          </w:p>
        </w:tc>
        <w:tc>
          <w:tcPr>
            <w:tcW w:w="2654" w:type="dxa"/>
            <w:vMerge/>
            <w:vAlign w:val="center"/>
          </w:tcPr>
          <w:p w14:paraId="6E5C480B" w14:textId="77777777" w:rsidR="00A84DCE" w:rsidRDefault="00A84DCE" w:rsidP="00FB28CF">
            <w:pPr>
              <w:jc w:val="center"/>
            </w:pPr>
          </w:p>
        </w:tc>
      </w:tr>
      <w:tr w:rsidR="00A84DCE" w14:paraId="515496B8" w14:textId="77777777" w:rsidTr="00C46E79">
        <w:trPr>
          <w:trHeight w:val="285"/>
        </w:trPr>
        <w:tc>
          <w:tcPr>
            <w:tcW w:w="2654" w:type="dxa"/>
            <w:vMerge/>
            <w:vAlign w:val="center"/>
          </w:tcPr>
          <w:p w14:paraId="1809B5EB" w14:textId="77777777" w:rsidR="00A84DCE" w:rsidRDefault="00A84DCE" w:rsidP="00FB28CF">
            <w:pPr>
              <w:jc w:val="center"/>
            </w:pPr>
          </w:p>
        </w:tc>
        <w:tc>
          <w:tcPr>
            <w:tcW w:w="2654" w:type="dxa"/>
            <w:vMerge/>
          </w:tcPr>
          <w:p w14:paraId="4A8804AD" w14:textId="77777777" w:rsidR="00A84DCE" w:rsidRDefault="00A84DCE" w:rsidP="00FB28CF">
            <w:pPr>
              <w:jc w:val="center"/>
            </w:pPr>
          </w:p>
        </w:tc>
        <w:tc>
          <w:tcPr>
            <w:tcW w:w="2654" w:type="dxa"/>
            <w:vMerge/>
            <w:vAlign w:val="center"/>
          </w:tcPr>
          <w:p w14:paraId="4794C8FE" w14:textId="6783E8D4" w:rsidR="00A84DCE" w:rsidRDefault="00A84DCE" w:rsidP="00FB28CF">
            <w:pPr>
              <w:jc w:val="center"/>
            </w:pPr>
          </w:p>
        </w:tc>
        <w:tc>
          <w:tcPr>
            <w:tcW w:w="2654" w:type="dxa"/>
            <w:shd w:val="clear" w:color="auto" w:fill="2C2C2C" w:themeFill="text1"/>
            <w:vAlign w:val="center"/>
          </w:tcPr>
          <w:p w14:paraId="31EFA333" w14:textId="3A141381" w:rsidR="00A84DCE" w:rsidRDefault="00A84DCE" w:rsidP="00FB28CF">
            <w:pPr>
              <w:jc w:val="center"/>
            </w:pPr>
          </w:p>
        </w:tc>
      </w:tr>
    </w:tbl>
    <w:p w14:paraId="25F498A9" w14:textId="77777777" w:rsidR="00A84DCE" w:rsidRPr="00A84DCE" w:rsidRDefault="00A84DCE" w:rsidP="00CE2ABF"/>
    <w:p w14:paraId="1D0A9DB0" w14:textId="0F58A03D" w:rsidR="00C46E79" w:rsidRPr="00A731F9" w:rsidRDefault="00C46E79" w:rsidP="00C46E79">
      <w:pPr>
        <w:pStyle w:val="Heading1"/>
      </w:pPr>
      <w:r w:rsidRPr="00A731F9">
        <w:t>Presentation</w:t>
      </w:r>
      <w:r>
        <w:t xml:space="preserve"> 2 – Determinants of Consumption</w:t>
      </w:r>
    </w:p>
    <w:p w14:paraId="3B50270E" w14:textId="77777777" w:rsidR="00C46E79" w:rsidRDefault="00C46E79" w:rsidP="00C46E79">
      <w:r>
        <w:t>Complete the activities below so as to have a complete set of notes:</w:t>
      </w:r>
    </w:p>
    <w:p w14:paraId="4CA31676" w14:textId="20773CC3" w:rsidR="00C46E79" w:rsidRDefault="00B97018" w:rsidP="00B97018">
      <w:pPr>
        <w:rPr>
          <w:bCs/>
          <w:color w:val="333333"/>
          <w:szCs w:val="40"/>
        </w:rPr>
      </w:pPr>
      <w:r>
        <w:rPr>
          <w:b/>
          <w:bCs/>
          <w:u w:val="single"/>
        </w:rPr>
        <w:t xml:space="preserve">Elaborate: </w:t>
      </w:r>
      <w:r>
        <w:t>Elaborate in the below key determinants of consumption</w:t>
      </w:r>
      <w:r>
        <w:rPr>
          <w:bCs/>
          <w:color w:val="333333"/>
          <w:szCs w:val="40"/>
        </w:rPr>
        <w:t xml:space="preserve"> </w:t>
      </w:r>
    </w:p>
    <w:p w14:paraId="204EC41C" w14:textId="77777777" w:rsidR="00B97018" w:rsidRPr="00B97018" w:rsidRDefault="00B97018" w:rsidP="00B97018">
      <w:r w:rsidRPr="00B97018">
        <w:rPr>
          <w:i/>
          <w:iCs/>
        </w:rPr>
        <w:t>Disposable Income:</w:t>
      </w:r>
      <w:r w:rsidRPr="00B97018">
        <w:t xml:space="preserve"> More income after tax gives households more scope to consume as they can buy more goods</w:t>
      </w:r>
    </w:p>
    <w:p w14:paraId="007505CC" w14:textId="77777777" w:rsidR="00B97018" w:rsidRDefault="00B97018" w:rsidP="00B97018">
      <w:pPr>
        <w:rPr>
          <w:bCs/>
          <w:color w:val="333333"/>
          <w:szCs w:val="40"/>
        </w:rPr>
      </w:pPr>
      <w:r>
        <w:rPr>
          <w:bCs/>
          <w:color w:val="333333"/>
          <w:szCs w:val="40"/>
        </w:rPr>
        <w:t>……………………………………………………………………………………………………………………………………………………………………………………</w:t>
      </w:r>
    </w:p>
    <w:p w14:paraId="246C0BA6" w14:textId="77777777" w:rsidR="00B97018" w:rsidRDefault="00B97018" w:rsidP="00B97018">
      <w:pPr>
        <w:rPr>
          <w:bCs/>
          <w:color w:val="333333"/>
          <w:szCs w:val="40"/>
        </w:rPr>
      </w:pPr>
      <w:r>
        <w:rPr>
          <w:bCs/>
          <w:color w:val="333333"/>
          <w:szCs w:val="40"/>
        </w:rPr>
        <w:t>……………………………………………………………………………………………………………………………………………………………………………………</w:t>
      </w:r>
    </w:p>
    <w:p w14:paraId="03885F92" w14:textId="77777777" w:rsidR="00B97018" w:rsidRDefault="00B97018" w:rsidP="00B97018">
      <w:pPr>
        <w:rPr>
          <w:i/>
          <w:iCs/>
        </w:rPr>
      </w:pPr>
    </w:p>
    <w:p w14:paraId="361D0116" w14:textId="394E14FF" w:rsidR="00B97018" w:rsidRPr="00B97018" w:rsidRDefault="00B97018" w:rsidP="00B97018">
      <w:r w:rsidRPr="00B97018">
        <w:rPr>
          <w:i/>
          <w:iCs/>
        </w:rPr>
        <w:t>Wealth:</w:t>
      </w:r>
      <w:r w:rsidRPr="00B97018">
        <w:rPr>
          <w:b/>
          <w:bCs/>
        </w:rPr>
        <w:t xml:space="preserve"> </w:t>
      </w:r>
      <w:r w:rsidRPr="00B97018">
        <w:t>Increased wealth leads to a wealth effect, a change in consumption due to a change in the wealth of an individuals (Either positive or negative)</w:t>
      </w:r>
    </w:p>
    <w:p w14:paraId="60079D0C" w14:textId="77777777" w:rsidR="00B97018" w:rsidRDefault="00B97018" w:rsidP="00B97018">
      <w:pPr>
        <w:rPr>
          <w:bCs/>
          <w:color w:val="333333"/>
          <w:szCs w:val="40"/>
        </w:rPr>
      </w:pPr>
      <w:r>
        <w:rPr>
          <w:bCs/>
          <w:color w:val="333333"/>
          <w:szCs w:val="40"/>
        </w:rPr>
        <w:t>……………………………………………………………………………………………………………………………………………………………………………………</w:t>
      </w:r>
    </w:p>
    <w:p w14:paraId="1F20AE1D" w14:textId="77777777" w:rsidR="00B97018" w:rsidRDefault="00B97018" w:rsidP="00B97018">
      <w:pPr>
        <w:rPr>
          <w:bCs/>
          <w:color w:val="333333"/>
          <w:szCs w:val="40"/>
        </w:rPr>
      </w:pPr>
      <w:r>
        <w:rPr>
          <w:bCs/>
          <w:color w:val="333333"/>
          <w:szCs w:val="40"/>
        </w:rPr>
        <w:t>……………………………………………………………………………………………………………………………………………………………………………………</w:t>
      </w:r>
    </w:p>
    <w:p w14:paraId="783F3740" w14:textId="77777777" w:rsidR="00B97018" w:rsidRPr="00B97018" w:rsidRDefault="00B97018" w:rsidP="00B97018">
      <w:r w:rsidRPr="00B97018">
        <w:rPr>
          <w:i/>
          <w:iCs/>
        </w:rPr>
        <w:lastRenderedPageBreak/>
        <w:t>Consumer Confidence/Expectations:</w:t>
      </w:r>
      <w:r w:rsidRPr="00B97018">
        <w:rPr>
          <w:b/>
          <w:bCs/>
        </w:rPr>
        <w:t xml:space="preserve"> </w:t>
      </w:r>
      <w:r w:rsidRPr="00B97018">
        <w:t>If confidence about future income is low, an individual is unlikely to go ahead with major purchases, cutting C.</w:t>
      </w:r>
    </w:p>
    <w:p w14:paraId="43C45B1D" w14:textId="77777777" w:rsidR="00B97018" w:rsidRDefault="00B97018" w:rsidP="00B97018">
      <w:pPr>
        <w:rPr>
          <w:bCs/>
          <w:color w:val="333333"/>
          <w:szCs w:val="40"/>
        </w:rPr>
      </w:pPr>
      <w:r>
        <w:rPr>
          <w:bCs/>
          <w:color w:val="333333"/>
          <w:szCs w:val="40"/>
        </w:rPr>
        <w:t>……………………………………………………………………………………………………………………………………………………………………………………</w:t>
      </w:r>
    </w:p>
    <w:p w14:paraId="5EE83370" w14:textId="77777777" w:rsidR="00B97018" w:rsidRDefault="00B97018" w:rsidP="00B97018">
      <w:pPr>
        <w:rPr>
          <w:bCs/>
          <w:color w:val="333333"/>
          <w:szCs w:val="40"/>
        </w:rPr>
      </w:pPr>
      <w:r>
        <w:rPr>
          <w:bCs/>
          <w:color w:val="333333"/>
          <w:szCs w:val="40"/>
        </w:rPr>
        <w:t>……………………………………………………………………………………………………………………………………………………………………………………</w:t>
      </w:r>
    </w:p>
    <w:p w14:paraId="6BF82A7B" w14:textId="77777777" w:rsidR="00B97018" w:rsidRDefault="00B97018" w:rsidP="00B97018">
      <w:pPr>
        <w:rPr>
          <w:i/>
          <w:iCs/>
        </w:rPr>
      </w:pPr>
    </w:p>
    <w:p w14:paraId="69762F45" w14:textId="21C70ADB" w:rsidR="00B97018" w:rsidRPr="00B97018" w:rsidRDefault="00B97018" w:rsidP="00B97018">
      <w:r w:rsidRPr="00B97018">
        <w:rPr>
          <w:i/>
          <w:iCs/>
        </w:rPr>
        <w:t>Interest rates:</w:t>
      </w:r>
      <w:r w:rsidRPr="00B97018">
        <w:rPr>
          <w:b/>
          <w:bCs/>
        </w:rPr>
        <w:t xml:space="preserve"> </w:t>
      </w:r>
      <w:r w:rsidRPr="00B97018">
        <w:t>Lower interest rates will lead to higher consumption</w:t>
      </w:r>
    </w:p>
    <w:p w14:paraId="0D0A299B" w14:textId="77777777" w:rsidR="00B97018" w:rsidRDefault="00B97018" w:rsidP="00B97018">
      <w:pPr>
        <w:rPr>
          <w:bCs/>
          <w:color w:val="333333"/>
          <w:szCs w:val="40"/>
        </w:rPr>
      </w:pPr>
      <w:r>
        <w:rPr>
          <w:bCs/>
          <w:color w:val="333333"/>
          <w:szCs w:val="40"/>
        </w:rPr>
        <w:t>……………………………………………………………………………………………………………………………………………………………………………………</w:t>
      </w:r>
    </w:p>
    <w:p w14:paraId="59EAD196" w14:textId="77777777" w:rsidR="00B97018" w:rsidRDefault="00B97018" w:rsidP="00B97018">
      <w:pPr>
        <w:rPr>
          <w:bCs/>
          <w:color w:val="333333"/>
          <w:szCs w:val="40"/>
        </w:rPr>
      </w:pPr>
      <w:r>
        <w:rPr>
          <w:bCs/>
          <w:color w:val="333333"/>
          <w:szCs w:val="40"/>
        </w:rPr>
        <w:t>……………………………………………………………………………………………………………………………………………………………………………………</w:t>
      </w:r>
    </w:p>
    <w:p w14:paraId="6DDADEE9" w14:textId="77777777" w:rsidR="00B97018" w:rsidRDefault="00B97018" w:rsidP="00B97018">
      <w:pPr>
        <w:rPr>
          <w:i/>
          <w:iCs/>
        </w:rPr>
      </w:pPr>
    </w:p>
    <w:p w14:paraId="2EEFDFB6" w14:textId="2A828FFE" w:rsidR="00B97018" w:rsidRPr="00B97018" w:rsidRDefault="00B97018" w:rsidP="00B97018">
      <w:r w:rsidRPr="00B97018">
        <w:rPr>
          <w:i/>
          <w:iCs/>
        </w:rPr>
        <w:t>Demographics:</w:t>
      </w:r>
      <w:r w:rsidRPr="00B97018">
        <w:rPr>
          <w:b/>
          <w:bCs/>
        </w:rPr>
        <w:t xml:space="preserve"> </w:t>
      </w:r>
      <w:r w:rsidRPr="00B97018">
        <w:t>Young/elderly typically have a high APC</w:t>
      </w:r>
    </w:p>
    <w:p w14:paraId="03C92A0C" w14:textId="77777777" w:rsidR="00B97018" w:rsidRDefault="00B97018" w:rsidP="00B97018">
      <w:pPr>
        <w:rPr>
          <w:bCs/>
          <w:color w:val="333333"/>
          <w:szCs w:val="40"/>
        </w:rPr>
      </w:pPr>
      <w:r>
        <w:rPr>
          <w:bCs/>
          <w:color w:val="333333"/>
          <w:szCs w:val="40"/>
        </w:rPr>
        <w:t>……………………………………………………………………………………………………………………………………………………………………………………</w:t>
      </w:r>
    </w:p>
    <w:p w14:paraId="575ED10C" w14:textId="77777777" w:rsidR="00B97018" w:rsidRDefault="00B97018" w:rsidP="00B97018">
      <w:pPr>
        <w:rPr>
          <w:bCs/>
          <w:color w:val="333333"/>
          <w:szCs w:val="40"/>
        </w:rPr>
      </w:pPr>
      <w:r>
        <w:rPr>
          <w:bCs/>
          <w:color w:val="333333"/>
          <w:szCs w:val="40"/>
        </w:rPr>
        <w:t>……………………………………………………………………………………………………………………………………………………………………………………</w:t>
      </w:r>
    </w:p>
    <w:p w14:paraId="0C277F2C" w14:textId="77777777" w:rsidR="00B97018" w:rsidRDefault="00B97018" w:rsidP="00B97018">
      <w:pPr>
        <w:rPr>
          <w:i/>
          <w:iCs/>
        </w:rPr>
      </w:pPr>
    </w:p>
    <w:p w14:paraId="41DEA614" w14:textId="00A6701B" w:rsidR="00B97018" w:rsidRPr="00B97018" w:rsidRDefault="00B97018" w:rsidP="00B97018">
      <w:r w:rsidRPr="00B97018">
        <w:rPr>
          <w:i/>
          <w:iCs/>
        </w:rPr>
        <w:t>Distribution of income:</w:t>
      </w:r>
      <w:r w:rsidRPr="00B97018">
        <w:rPr>
          <w:b/>
          <w:bCs/>
        </w:rPr>
        <w:t xml:space="preserve"> </w:t>
      </w:r>
      <w:r w:rsidRPr="00B97018">
        <w:t>Those on the lowest incomes spend a greater proportion of them as they have lower ability to save</w:t>
      </w:r>
    </w:p>
    <w:p w14:paraId="6B869D27" w14:textId="77777777" w:rsidR="00B97018" w:rsidRDefault="00B97018" w:rsidP="00B97018">
      <w:pPr>
        <w:rPr>
          <w:bCs/>
          <w:color w:val="333333"/>
          <w:szCs w:val="40"/>
        </w:rPr>
      </w:pPr>
      <w:r>
        <w:rPr>
          <w:bCs/>
          <w:color w:val="333333"/>
          <w:szCs w:val="40"/>
        </w:rPr>
        <w:t>……………………………………………………………………………………………………………………………………………………………………………………</w:t>
      </w:r>
    </w:p>
    <w:p w14:paraId="2647CFFD" w14:textId="77777777" w:rsidR="00B97018" w:rsidRDefault="00B97018" w:rsidP="00B97018">
      <w:pPr>
        <w:rPr>
          <w:bCs/>
          <w:color w:val="333333"/>
          <w:szCs w:val="40"/>
        </w:rPr>
      </w:pPr>
      <w:r>
        <w:rPr>
          <w:bCs/>
          <w:color w:val="333333"/>
          <w:szCs w:val="40"/>
        </w:rPr>
        <w:t>……………………………………………………………………………………………………………………………………………………………………………………</w:t>
      </w:r>
    </w:p>
    <w:p w14:paraId="07C20532" w14:textId="77777777" w:rsidR="00B97018" w:rsidRDefault="00B97018" w:rsidP="00B97018">
      <w:pPr>
        <w:rPr>
          <w:i/>
          <w:iCs/>
        </w:rPr>
      </w:pPr>
    </w:p>
    <w:p w14:paraId="3B5BB482" w14:textId="57E85998" w:rsidR="00B97018" w:rsidRPr="00B97018" w:rsidRDefault="00B97018" w:rsidP="00B97018">
      <w:r w:rsidRPr="00B97018">
        <w:rPr>
          <w:i/>
          <w:iCs/>
        </w:rPr>
        <w:t>Income tax level:</w:t>
      </w:r>
      <w:r w:rsidRPr="00B97018">
        <w:rPr>
          <w:b/>
          <w:bCs/>
        </w:rPr>
        <w:t xml:space="preserve"> </w:t>
      </w:r>
      <w:r w:rsidRPr="00B97018">
        <w:t>lower levels of income tax mean more income after tax to be spent on consumption</w:t>
      </w:r>
    </w:p>
    <w:p w14:paraId="6411954D" w14:textId="70E238FB" w:rsidR="00B97018" w:rsidRDefault="00B97018" w:rsidP="00B97018">
      <w:pPr>
        <w:rPr>
          <w:bCs/>
          <w:color w:val="333333"/>
          <w:szCs w:val="40"/>
        </w:rPr>
      </w:pPr>
      <w:r>
        <w:rPr>
          <w:bCs/>
          <w:color w:val="333333"/>
          <w:szCs w:val="40"/>
        </w:rPr>
        <w:t>……………………………………………………………………………………………………………………………………………………………………………………</w:t>
      </w:r>
    </w:p>
    <w:p w14:paraId="4828B83E" w14:textId="2C02E943" w:rsidR="00B97018" w:rsidRPr="00B97018" w:rsidRDefault="00B97018" w:rsidP="00B97018"/>
    <w:p w14:paraId="5D30F445" w14:textId="77777777" w:rsidR="00B97018" w:rsidRPr="00B97018" w:rsidRDefault="00B97018" w:rsidP="00B97018">
      <w:r w:rsidRPr="00B97018">
        <w:rPr>
          <w:i/>
          <w:iCs/>
        </w:rPr>
        <w:t>Unemployment rates:</w:t>
      </w:r>
      <w:r w:rsidRPr="00B97018">
        <w:rPr>
          <w:b/>
          <w:bCs/>
        </w:rPr>
        <w:t xml:space="preserve"> </w:t>
      </w:r>
      <w:r w:rsidRPr="00B97018">
        <w:t>More unemployment means lower income and less confidence</w:t>
      </w:r>
    </w:p>
    <w:p w14:paraId="4EEF9307" w14:textId="68DA55B7" w:rsidR="00B97018" w:rsidRDefault="00B97018" w:rsidP="00B97018">
      <w:pPr>
        <w:rPr>
          <w:bCs/>
          <w:color w:val="333333"/>
          <w:szCs w:val="40"/>
        </w:rPr>
      </w:pPr>
      <w:r>
        <w:rPr>
          <w:bCs/>
          <w:color w:val="333333"/>
          <w:szCs w:val="40"/>
        </w:rPr>
        <w:t>……………………………………………………………………………………………………………………………………………………………………………………</w:t>
      </w:r>
    </w:p>
    <w:p w14:paraId="1C032FFE" w14:textId="512E568D" w:rsidR="006D45C1" w:rsidRDefault="006D45C1" w:rsidP="006D45C1">
      <w:pPr>
        <w:pStyle w:val="Heading1"/>
      </w:pPr>
      <w:r>
        <w:t>Article task: Next and Consumer confidence</w:t>
      </w:r>
    </w:p>
    <w:p w14:paraId="4154DDA5" w14:textId="77777777" w:rsidR="006D45C1" w:rsidRDefault="006D45C1" w:rsidP="006D45C1">
      <w:pPr>
        <w:rPr>
          <w:b/>
          <w:u w:val="single"/>
        </w:rPr>
      </w:pPr>
      <w:r>
        <w:rPr>
          <w:b/>
          <w:u w:val="single"/>
        </w:rPr>
        <w:t>Instructions:</w:t>
      </w:r>
    </w:p>
    <w:p w14:paraId="6FC7C985" w14:textId="77777777" w:rsidR="006D45C1" w:rsidRDefault="006D45C1" w:rsidP="006D45C1">
      <w:pPr>
        <w:pStyle w:val="ListParagraph"/>
        <w:numPr>
          <w:ilvl w:val="0"/>
          <w:numId w:val="6"/>
        </w:numPr>
      </w:pPr>
      <w:r>
        <w:t>Read, highlight and annotate the article, making notes to answer the key discussion question</w:t>
      </w:r>
    </w:p>
    <w:p w14:paraId="5E8AF790" w14:textId="77777777" w:rsidR="006D45C1" w:rsidRDefault="006D45C1" w:rsidP="006D45C1">
      <w:pPr>
        <w:pStyle w:val="ListParagraph"/>
        <w:numPr>
          <w:ilvl w:val="0"/>
          <w:numId w:val="6"/>
        </w:numPr>
      </w:pPr>
      <w:r>
        <w:t>Discuss as a class</w:t>
      </w:r>
    </w:p>
    <w:p w14:paraId="14484015" w14:textId="77777777" w:rsidR="006D45C1" w:rsidRDefault="006D45C1" w:rsidP="006D45C1">
      <w:pPr>
        <w:rPr>
          <w:b/>
          <w:u w:val="single"/>
        </w:rPr>
      </w:pPr>
      <w:r w:rsidRPr="00E34C6C">
        <w:rPr>
          <w:b/>
          <w:noProof/>
          <w:u w:val="single"/>
          <w:lang w:eastAsia="en-GB"/>
        </w:rPr>
        <w:drawing>
          <wp:anchor distT="0" distB="0" distL="114300" distR="114300" simplePos="0" relativeHeight="251659264" behindDoc="0" locked="0" layoutInCell="1" allowOverlap="1" wp14:anchorId="08CB5184" wp14:editId="7B02DC4A">
            <wp:simplePos x="0" y="0"/>
            <wp:positionH relativeFrom="margin">
              <wp:align>right</wp:align>
            </wp:positionH>
            <wp:positionV relativeFrom="paragraph">
              <wp:posOffset>5080</wp:posOffset>
            </wp:positionV>
            <wp:extent cx="2962275" cy="1666240"/>
            <wp:effectExtent l="0" t="0" r="9525" b="0"/>
            <wp:wrapSquare wrapText="bothSides"/>
            <wp:docPr id="6" name="Picture 6" descr="Next, Oxford Street, London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 Oxford Street, LondonShop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666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u w:val="single"/>
        </w:rPr>
        <w:t>Article:</w:t>
      </w:r>
      <w:r w:rsidRPr="00E34C6C">
        <w:t xml:space="preserve"> </w:t>
      </w:r>
    </w:p>
    <w:p w14:paraId="32CF2744" w14:textId="77777777" w:rsidR="006D45C1" w:rsidRPr="00E34C6C" w:rsidRDefault="006D45C1" w:rsidP="006D45C1">
      <w:pPr>
        <w:rPr>
          <w:i/>
          <w:u w:val="single"/>
        </w:rPr>
      </w:pPr>
      <w:r w:rsidRPr="00E34C6C">
        <w:rPr>
          <w:i/>
          <w:u w:val="single"/>
        </w:rPr>
        <w:t>Next profits up as consumer confidence returns</w:t>
      </w:r>
    </w:p>
    <w:p w14:paraId="50223A0A" w14:textId="77777777" w:rsidR="006D45C1" w:rsidRDefault="006D45C1" w:rsidP="006D45C1">
      <w:r>
        <w:t>Next has reported a strong rise in half-year profits as higher house prices and the continuing economic recovery feed into household spending.</w:t>
      </w:r>
    </w:p>
    <w:p w14:paraId="4C195F68" w14:textId="1D2E6384" w:rsidR="006D45C1" w:rsidRDefault="006D45C1" w:rsidP="006D45C1">
      <w:r>
        <w:t>It said pre-tax profits for the six months to July rose 19.3% to £324.2m, compared with £271.8m a year earlier.</w:t>
      </w:r>
      <w:r w:rsidR="00AB4D14">
        <w:t xml:space="preserve"> </w:t>
      </w:r>
      <w:r>
        <w:t>Overall sales were 10.3% stronger than a year ago, Next added.</w:t>
      </w:r>
    </w:p>
    <w:p w14:paraId="046E0774" w14:textId="7107E028" w:rsidR="006D45C1" w:rsidRDefault="006D45C1" w:rsidP="006D45C1">
      <w:r>
        <w:lastRenderedPageBreak/>
        <w:t xml:space="preserve">Next Directory sales grew 16.2% to £694.3m from £597.6m a year earlier. Next Retail sales rose </w:t>
      </w:r>
      <w:r w:rsidR="00AB4D14">
        <w:t xml:space="preserve">by </w:t>
      </w:r>
      <w:r>
        <w:t>7.5% to £1</w:t>
      </w:r>
      <w:r w:rsidR="00AB4D14">
        <w:t>.</w:t>
      </w:r>
      <w:r>
        <w:t>07</w:t>
      </w:r>
      <w:r w:rsidR="00AB4D14">
        <w:t xml:space="preserve"> </w:t>
      </w:r>
      <w:r>
        <w:t>bn from £</w:t>
      </w:r>
      <w:r w:rsidR="00AB4D14">
        <w:t xml:space="preserve">1 </w:t>
      </w:r>
      <w:r>
        <w:t>bn.</w:t>
      </w:r>
    </w:p>
    <w:p w14:paraId="0C20AB7C" w14:textId="77777777" w:rsidR="006D45C1" w:rsidRDefault="006D45C1" w:rsidP="006D45C1">
      <w:r>
        <w:t>The retailer said the improving economy, low interest rates, increasing availability of credit, less discounting on the high street and much better summer weather had all contributed to an improvement in its sales performance. "In addition, an improved housing market has helped our home business," it added.</w:t>
      </w:r>
    </w:p>
    <w:p w14:paraId="5C5F6C51" w14:textId="77777777" w:rsidR="006D45C1" w:rsidRDefault="006D45C1" w:rsidP="006D45C1">
      <w:r>
        <w:t>Next said it expected pre-tax profits in 2015 to be between 11% and 17% higher at between £775m and £815m.It forecast sales growth of 10% in the third quarter and 4% in the three months to Christmas.</w:t>
      </w:r>
    </w:p>
    <w:p w14:paraId="53CB4913" w14:textId="77777777" w:rsidR="006D45C1" w:rsidRDefault="006D45C1" w:rsidP="006D45C1">
      <w:r>
        <w:t>The retailer acknowledged its sales forecast for the fourth quarter "may look unambitious" but said the number needed to be seen in the context of the "very strong sales performance in the final quarter last year".</w:t>
      </w:r>
    </w:p>
    <w:p w14:paraId="38BF3C17" w14:textId="77777777" w:rsidR="006D45C1" w:rsidRDefault="006D45C1" w:rsidP="006D45C1">
      <w:r>
        <w:t>Next shares were 2.58% lower to 6980p in early trading on the London Stock Exchange</w:t>
      </w:r>
    </w:p>
    <w:p w14:paraId="1B70FE32" w14:textId="77777777" w:rsidR="006D45C1" w:rsidRDefault="006D45C1" w:rsidP="006D45C1">
      <w:pPr>
        <w:rPr>
          <w:b/>
          <w:u w:val="single"/>
        </w:rPr>
      </w:pPr>
      <w:r>
        <w:rPr>
          <w:b/>
          <w:u w:val="single"/>
        </w:rPr>
        <w:t>Discussion Question:</w:t>
      </w:r>
    </w:p>
    <w:p w14:paraId="58D494B6" w14:textId="70C74E0B" w:rsidR="006D45C1" w:rsidRDefault="006D45C1" w:rsidP="006D45C1">
      <w:pPr>
        <w:rPr>
          <w:i/>
        </w:rPr>
      </w:pPr>
      <w:r>
        <w:rPr>
          <w:i/>
        </w:rPr>
        <w:t>How does higher consumer confidence affect spending</w:t>
      </w:r>
      <w:r w:rsidR="00EC3C03">
        <w:rPr>
          <w:i/>
        </w:rPr>
        <w:t xml:space="preserve"> in the economy</w:t>
      </w:r>
      <w:r>
        <w:rPr>
          <w:i/>
        </w:rPr>
        <w:t>?</w:t>
      </w:r>
    </w:p>
    <w:p w14:paraId="6E59EE12" w14:textId="77777777" w:rsidR="006D45C1" w:rsidRDefault="006D45C1" w:rsidP="006D45C1">
      <w:pPr>
        <w:rPr>
          <w:bCs/>
          <w:color w:val="333333"/>
          <w:szCs w:val="40"/>
        </w:rPr>
      </w:pPr>
      <w:r>
        <w:rPr>
          <w:bCs/>
          <w:color w:val="333333"/>
          <w:szCs w:val="40"/>
        </w:rPr>
        <w:t>……………………………………………………………………………………………………………………………………………………………………………………</w:t>
      </w:r>
    </w:p>
    <w:p w14:paraId="0B0F0E38" w14:textId="77777777" w:rsidR="006D45C1" w:rsidRDefault="006D45C1" w:rsidP="006D45C1">
      <w:pPr>
        <w:rPr>
          <w:bCs/>
          <w:color w:val="333333"/>
          <w:szCs w:val="40"/>
        </w:rPr>
      </w:pPr>
      <w:r>
        <w:rPr>
          <w:bCs/>
          <w:color w:val="333333"/>
          <w:szCs w:val="40"/>
        </w:rPr>
        <w:t>……………………………………………………………………………………………………………………………………………………………………………………</w:t>
      </w:r>
    </w:p>
    <w:p w14:paraId="5BA1408D" w14:textId="77777777" w:rsidR="006D45C1" w:rsidRDefault="006D45C1" w:rsidP="006D45C1">
      <w:pPr>
        <w:rPr>
          <w:bCs/>
          <w:color w:val="333333"/>
          <w:szCs w:val="40"/>
        </w:rPr>
      </w:pPr>
      <w:r>
        <w:rPr>
          <w:bCs/>
          <w:color w:val="333333"/>
          <w:szCs w:val="40"/>
        </w:rPr>
        <w:t>……………………………………………………………………………………………………………………………………………………………………………………</w:t>
      </w:r>
    </w:p>
    <w:p w14:paraId="543642A1" w14:textId="77777777" w:rsidR="006D45C1" w:rsidRDefault="006D45C1" w:rsidP="006D45C1">
      <w:pPr>
        <w:rPr>
          <w:bCs/>
          <w:color w:val="333333"/>
          <w:szCs w:val="40"/>
        </w:rPr>
      </w:pPr>
      <w:r>
        <w:rPr>
          <w:bCs/>
          <w:color w:val="333333"/>
          <w:szCs w:val="40"/>
        </w:rPr>
        <w:t>……………………………………………………………………………………………………………………………………………………………………………………</w:t>
      </w:r>
    </w:p>
    <w:p w14:paraId="40A6F96C" w14:textId="77777777" w:rsidR="006D45C1" w:rsidRDefault="006D45C1" w:rsidP="006D45C1">
      <w:pPr>
        <w:rPr>
          <w:bCs/>
          <w:color w:val="333333"/>
          <w:szCs w:val="40"/>
        </w:rPr>
      </w:pPr>
      <w:r>
        <w:rPr>
          <w:bCs/>
          <w:color w:val="333333"/>
          <w:szCs w:val="40"/>
        </w:rPr>
        <w:t>……………………………………………………………………………………………………………………………………………………………………………………</w:t>
      </w:r>
    </w:p>
    <w:p w14:paraId="60BB8364" w14:textId="77777777" w:rsidR="006D45C1" w:rsidRDefault="006D45C1" w:rsidP="006D45C1">
      <w:pPr>
        <w:rPr>
          <w:bCs/>
          <w:color w:val="333333"/>
          <w:szCs w:val="40"/>
        </w:rPr>
      </w:pPr>
      <w:r>
        <w:rPr>
          <w:bCs/>
          <w:color w:val="333333"/>
          <w:szCs w:val="40"/>
        </w:rPr>
        <w:t>……………………………………………………………………………………………………………………………………………………………………………………</w:t>
      </w:r>
    </w:p>
    <w:p w14:paraId="14AC8765" w14:textId="77777777" w:rsidR="006D45C1" w:rsidRDefault="006D45C1" w:rsidP="006D45C1">
      <w:pPr>
        <w:rPr>
          <w:bCs/>
          <w:color w:val="333333"/>
          <w:szCs w:val="40"/>
        </w:rPr>
      </w:pPr>
      <w:r>
        <w:rPr>
          <w:bCs/>
          <w:color w:val="333333"/>
          <w:szCs w:val="40"/>
        </w:rPr>
        <w:t>……………………………………………………………………………………………………………………………………………………………………………………</w:t>
      </w:r>
    </w:p>
    <w:p w14:paraId="39D2EF08" w14:textId="77777777" w:rsidR="006D45C1" w:rsidRDefault="006D45C1" w:rsidP="006D45C1">
      <w:pPr>
        <w:rPr>
          <w:bCs/>
          <w:color w:val="333333"/>
          <w:szCs w:val="40"/>
        </w:rPr>
      </w:pPr>
      <w:r>
        <w:rPr>
          <w:bCs/>
          <w:color w:val="333333"/>
          <w:szCs w:val="40"/>
        </w:rPr>
        <w:t>……………………………………………………………………………………………………………………………………………………………………………………</w:t>
      </w:r>
    </w:p>
    <w:p w14:paraId="6C28C85E" w14:textId="77777777" w:rsidR="006D45C1" w:rsidRPr="00E34C6C" w:rsidRDefault="006D45C1" w:rsidP="006D45C1">
      <w:pPr>
        <w:rPr>
          <w:i/>
        </w:rPr>
      </w:pPr>
      <w:r>
        <w:rPr>
          <w:bCs/>
          <w:color w:val="333333"/>
          <w:szCs w:val="40"/>
        </w:rPr>
        <w:t>……………………………………………………………………………………………………………………………………………………………………………………</w:t>
      </w:r>
    </w:p>
    <w:p w14:paraId="33CC2F1A" w14:textId="16A06F8F" w:rsidR="006D45C1" w:rsidRPr="001E71E0" w:rsidRDefault="006D45C1" w:rsidP="006D45C1">
      <w:pPr>
        <w:rPr>
          <w:bCs/>
          <w:color w:val="333333"/>
          <w:szCs w:val="40"/>
        </w:rPr>
      </w:pPr>
      <w:r>
        <w:rPr>
          <w:bCs/>
          <w:color w:val="333333"/>
          <w:szCs w:val="40"/>
        </w:rPr>
        <w:t>……………………………………………………………………………………………………………………………………………………………………………………</w:t>
      </w:r>
    </w:p>
    <w:p w14:paraId="63AF5768" w14:textId="2CBD27A9" w:rsidR="001E71E0" w:rsidRPr="00A731F9" w:rsidRDefault="001E71E0" w:rsidP="001E71E0">
      <w:pPr>
        <w:pStyle w:val="Heading1"/>
      </w:pPr>
      <w:r w:rsidRPr="00A731F9">
        <w:t>Presentation</w:t>
      </w:r>
      <w:r>
        <w:t xml:space="preserve"> 3 – The Relationship between Savings and Consumption</w:t>
      </w:r>
    </w:p>
    <w:p w14:paraId="58B917BB" w14:textId="77777777" w:rsidR="001E71E0" w:rsidRDefault="001E71E0" w:rsidP="001E71E0">
      <w:r>
        <w:t>Complete the activities below so as to have a complete set of notes:</w:t>
      </w:r>
    </w:p>
    <w:p w14:paraId="4FD050CD" w14:textId="24BD03FD" w:rsidR="001E71E0" w:rsidRDefault="001E71E0" w:rsidP="001E71E0">
      <w:pPr>
        <w:rPr>
          <w:i/>
          <w:iCs/>
        </w:rPr>
      </w:pPr>
      <w:r w:rsidRPr="00895935">
        <w:rPr>
          <w:b/>
          <w:bCs/>
          <w:u w:val="single"/>
        </w:rPr>
        <w:t>Definition:</w:t>
      </w:r>
      <w:r>
        <w:t xml:space="preserve"> </w:t>
      </w:r>
      <w:r>
        <w:rPr>
          <w:i/>
          <w:iCs/>
        </w:rPr>
        <w:t>Savings</w:t>
      </w:r>
    </w:p>
    <w:p w14:paraId="4AE27D5F" w14:textId="77777777" w:rsidR="001E71E0" w:rsidRDefault="001E71E0" w:rsidP="001E71E0">
      <w:pPr>
        <w:rPr>
          <w:bCs/>
          <w:color w:val="333333"/>
          <w:szCs w:val="40"/>
        </w:rPr>
      </w:pPr>
      <w:r>
        <w:rPr>
          <w:bCs/>
          <w:color w:val="333333"/>
          <w:szCs w:val="40"/>
        </w:rPr>
        <w:t>……………………………………………………………………………………………………………………………………………………………………………………</w:t>
      </w:r>
    </w:p>
    <w:p w14:paraId="6DF07B27" w14:textId="77777777" w:rsidR="001E71E0" w:rsidRPr="00E34C6C" w:rsidRDefault="001E71E0" w:rsidP="001E71E0">
      <w:pPr>
        <w:rPr>
          <w:i/>
        </w:rPr>
      </w:pPr>
      <w:r>
        <w:rPr>
          <w:bCs/>
          <w:color w:val="333333"/>
          <w:szCs w:val="40"/>
        </w:rPr>
        <w:t>……………………………………………………………………………………………………………………………………………………………………………………</w:t>
      </w:r>
    </w:p>
    <w:p w14:paraId="4216165E" w14:textId="77777777" w:rsidR="001E71E0" w:rsidRPr="001E71E0" w:rsidRDefault="001E71E0" w:rsidP="001E71E0">
      <w:pPr>
        <w:ind w:left="720"/>
      </w:pPr>
      <w:r w:rsidRPr="001E71E0">
        <w:t>The level of saving in an economy has a direct impact upon the level of consumption</w:t>
      </w:r>
    </w:p>
    <w:p w14:paraId="6464F840" w14:textId="77777777" w:rsidR="001E71E0" w:rsidRPr="001E71E0" w:rsidRDefault="001E71E0" w:rsidP="001E71E0">
      <w:pPr>
        <w:ind w:left="720"/>
      </w:pPr>
      <w:r w:rsidRPr="001E71E0">
        <w:t>In economics, any disposable household income not used for consumption is said to have been saved</w:t>
      </w:r>
    </w:p>
    <w:p w14:paraId="112A8A8E" w14:textId="77777777" w:rsidR="001E71E0" w:rsidRDefault="001E71E0" w:rsidP="001E71E0">
      <w:pPr>
        <w:rPr>
          <w:b/>
          <w:bCs/>
          <w:u w:val="single"/>
        </w:rPr>
      </w:pPr>
    </w:p>
    <w:p w14:paraId="52423E1F" w14:textId="23E48762" w:rsidR="001E71E0" w:rsidRDefault="001E71E0" w:rsidP="001E71E0">
      <w:pPr>
        <w:rPr>
          <w:i/>
          <w:iCs/>
        </w:rPr>
      </w:pPr>
      <w:r w:rsidRPr="00895935">
        <w:rPr>
          <w:b/>
          <w:bCs/>
          <w:u w:val="single"/>
        </w:rPr>
        <w:t>Definition:</w:t>
      </w:r>
      <w:r>
        <w:t xml:space="preserve"> </w:t>
      </w:r>
      <w:r>
        <w:rPr>
          <w:i/>
          <w:iCs/>
        </w:rPr>
        <w:t>Marginal Propensity to Save</w:t>
      </w:r>
    </w:p>
    <w:p w14:paraId="525617E8" w14:textId="77777777" w:rsidR="001E71E0" w:rsidRDefault="001E71E0" w:rsidP="001E71E0">
      <w:pPr>
        <w:rPr>
          <w:bCs/>
          <w:color w:val="333333"/>
          <w:szCs w:val="40"/>
        </w:rPr>
      </w:pPr>
      <w:r>
        <w:rPr>
          <w:bCs/>
          <w:color w:val="333333"/>
          <w:szCs w:val="40"/>
        </w:rPr>
        <w:t>……………………………………………………………………………………………………………………………………………………………………………………</w:t>
      </w:r>
    </w:p>
    <w:p w14:paraId="4BE007A8" w14:textId="77777777" w:rsidR="001E71E0" w:rsidRDefault="001E71E0" w:rsidP="001E71E0">
      <w:pPr>
        <w:rPr>
          <w:bCs/>
          <w:color w:val="333333"/>
          <w:szCs w:val="40"/>
        </w:rPr>
      </w:pPr>
      <w:r>
        <w:rPr>
          <w:bCs/>
          <w:color w:val="333333"/>
          <w:szCs w:val="40"/>
        </w:rPr>
        <w:t>……………………………………………………………………………………………………………………………………………………………………………………</w:t>
      </w:r>
    </w:p>
    <w:p w14:paraId="4E184800" w14:textId="77777777" w:rsidR="001E71E0" w:rsidRPr="009C14E4" w:rsidRDefault="001E71E0" w:rsidP="001E71E0">
      <w:pPr>
        <w:ind w:firstLine="360"/>
        <w:rPr>
          <w:rFonts w:ascii="Cambria Math" w:hAnsi="Cambria Math"/>
          <w:i/>
          <w:iCs/>
          <w:sz w:val="36"/>
          <w:szCs w:val="36"/>
        </w:rPr>
      </w:pPr>
      <w:r w:rsidRPr="009C14E4">
        <w:rPr>
          <w:rFonts w:ascii="Cambria Math" w:hAnsi="Cambria Math"/>
          <w:i/>
          <w:iCs/>
          <w:sz w:val="36"/>
          <w:szCs w:val="36"/>
        </w:rPr>
        <w:t xml:space="preserve">Equation: </w:t>
      </w:r>
    </w:p>
    <w:p w14:paraId="3138DC8A" w14:textId="659C26E3" w:rsidR="001E71E0" w:rsidRPr="001E71E0" w:rsidRDefault="001E71E0" w:rsidP="001E71E0">
      <w:r w:rsidRPr="001E71E0">
        <w:rPr>
          <w:b/>
          <w:bCs/>
          <w:u w:val="single"/>
        </w:rPr>
        <w:lastRenderedPageBreak/>
        <w:t>Key Notes:</w:t>
      </w:r>
      <w:r w:rsidRPr="001E71E0">
        <w:rPr>
          <w:b/>
          <w:bCs/>
        </w:rPr>
        <w:t xml:space="preserve"> </w:t>
      </w:r>
      <w:r w:rsidRPr="001E71E0">
        <w:rPr>
          <w:i/>
          <w:iCs/>
        </w:rPr>
        <w:t>Determinants of Savings</w:t>
      </w:r>
    </w:p>
    <w:p w14:paraId="6D717551" w14:textId="77777777" w:rsidR="001E71E0" w:rsidRPr="001E71E0" w:rsidRDefault="001E71E0" w:rsidP="001E71E0">
      <w:r w:rsidRPr="001E71E0">
        <w:rPr>
          <w:i/>
          <w:iCs/>
        </w:rPr>
        <w:t>Interest rates:</w:t>
      </w:r>
      <w:r w:rsidRPr="001E71E0">
        <w:rPr>
          <w:b/>
          <w:bCs/>
        </w:rPr>
        <w:t xml:space="preserve"> </w:t>
      </w:r>
      <w:r w:rsidRPr="001E71E0">
        <w:t>Higher interest rates increase the incentives to save as the reward is greater</w:t>
      </w:r>
    </w:p>
    <w:p w14:paraId="34AEA6CD" w14:textId="77777777" w:rsidR="001E71E0" w:rsidRPr="001E71E0" w:rsidRDefault="001E71E0" w:rsidP="001E71E0">
      <w:r w:rsidRPr="001E71E0">
        <w:rPr>
          <w:i/>
          <w:iCs/>
        </w:rPr>
        <w:t>Confidence:</w:t>
      </w:r>
      <w:r w:rsidRPr="001E71E0">
        <w:rPr>
          <w:b/>
          <w:bCs/>
        </w:rPr>
        <w:t xml:space="preserve"> </w:t>
      </w:r>
      <w:r w:rsidRPr="001E71E0">
        <w:t>If individuals and workers are nervous about the future, they may be inclined to save more of their income in the event of wage cuts, wage freezes or redundancy</w:t>
      </w:r>
    </w:p>
    <w:p w14:paraId="2B41E269" w14:textId="77777777" w:rsidR="001E71E0" w:rsidRPr="001E71E0" w:rsidRDefault="001E71E0" w:rsidP="001E71E0">
      <w:r w:rsidRPr="001E71E0">
        <w:rPr>
          <w:i/>
          <w:iCs/>
        </w:rPr>
        <w:t>Inflation:</w:t>
      </w:r>
      <w:r w:rsidRPr="001E71E0">
        <w:rPr>
          <w:b/>
          <w:bCs/>
        </w:rPr>
        <w:t xml:space="preserve"> </w:t>
      </w:r>
      <w:r w:rsidRPr="001E71E0">
        <w:t>If prices are rising quickly, then the real value of savings is eroded, so the incentive to save reduces</w:t>
      </w:r>
    </w:p>
    <w:p w14:paraId="4E921F0A" w14:textId="77777777" w:rsidR="001E71E0" w:rsidRDefault="001E71E0" w:rsidP="001E71E0"/>
    <w:p w14:paraId="3B37D2E2" w14:textId="031EC5AD" w:rsidR="006D45C1" w:rsidRPr="001E71E0" w:rsidRDefault="00B97018" w:rsidP="001E71E0">
      <w:pPr>
        <w:pStyle w:val="Heading1"/>
      </w:pPr>
      <w:r>
        <w:t>Assignment</w:t>
      </w:r>
    </w:p>
    <w:p w14:paraId="371260A7" w14:textId="02AE4494" w:rsidR="00B97018" w:rsidRPr="00B97018" w:rsidRDefault="00B97018" w:rsidP="006D45C1">
      <w:pPr>
        <w:rPr>
          <w:rFonts w:ascii="Gill Sans MT" w:hAnsi="Gill Sans MT"/>
          <w:b/>
          <w:bCs/>
          <w:szCs w:val="40"/>
          <w:u w:val="single"/>
        </w:rPr>
      </w:pPr>
      <w:r w:rsidRPr="00B97018">
        <w:rPr>
          <w:rFonts w:ascii="Gill Sans MT" w:hAnsi="Gill Sans MT"/>
          <w:b/>
          <w:bCs/>
          <w:szCs w:val="40"/>
          <w:u w:val="single"/>
        </w:rPr>
        <w:t>Section B</w:t>
      </w:r>
    </w:p>
    <w:p w14:paraId="731AE0A5" w14:textId="11C4698F" w:rsidR="006D45C1" w:rsidRPr="00B97018" w:rsidRDefault="006D45C1" w:rsidP="006D45C1">
      <w:pPr>
        <w:rPr>
          <w:rFonts w:ascii="Gill Sans MT" w:hAnsi="Gill Sans MT"/>
          <w:b/>
          <w:bCs/>
          <w:szCs w:val="40"/>
        </w:rPr>
      </w:pPr>
      <w:r w:rsidRPr="00B97018">
        <w:rPr>
          <w:rFonts w:ascii="Gill Sans MT" w:hAnsi="Gill Sans MT"/>
          <w:b/>
          <w:bCs/>
          <w:szCs w:val="40"/>
        </w:rPr>
        <w:t>Extract 1: Aggregate demand</w:t>
      </w:r>
    </w:p>
    <w:p w14:paraId="6929163F" w14:textId="77777777" w:rsidR="006D45C1" w:rsidRPr="00B97018" w:rsidRDefault="006D45C1" w:rsidP="006D45C1">
      <w:pPr>
        <w:rPr>
          <w:rFonts w:ascii="Gill Sans MT" w:hAnsi="Gill Sans MT"/>
          <w:bCs/>
          <w:szCs w:val="40"/>
        </w:rPr>
      </w:pPr>
      <w:r w:rsidRPr="00B97018">
        <w:rPr>
          <w:rFonts w:ascii="Gill Sans MT" w:hAnsi="Gill Sans MT"/>
          <w:bCs/>
          <w:szCs w:val="40"/>
        </w:rPr>
        <w:t>At the time of the economic crisis in 2008 and 2009, the savings ratio increased significantly from just over 2% to nearly 9%. Consumer expenditure fell, following falling real incomes, even though interest rates were reduced to just 0.5%. Investment has remained low since 2009 because confidence has been low – partly because of the crisis in the Eurozone, which has resulted in slow growth in those countries. Despite a 25% fall in the value of sterling, the UK’s trade balance remained in deficit and between 2011 and 2012 the deficit increased from £23bn to £37bn.</w:t>
      </w:r>
    </w:p>
    <w:p w14:paraId="684755E9" w14:textId="77777777" w:rsidR="006D45C1" w:rsidRPr="00B97018" w:rsidRDefault="006D45C1" w:rsidP="006D45C1">
      <w:pPr>
        <w:rPr>
          <w:rFonts w:ascii="Gill Sans MT" w:hAnsi="Gill Sans MT"/>
          <w:bCs/>
          <w:szCs w:val="40"/>
        </w:rPr>
      </w:pPr>
      <w:r w:rsidRPr="00B97018">
        <w:rPr>
          <w:rFonts w:ascii="Gill Sans MT" w:hAnsi="Gill Sans MT"/>
          <w:bCs/>
          <w:szCs w:val="40"/>
        </w:rPr>
        <w:t>Although house prices fell sharply in 2009 and again slightly in 2011, there is an expectation that they will increase from 2013.</w:t>
      </w:r>
    </w:p>
    <w:p w14:paraId="208AAEDC" w14:textId="77777777" w:rsidR="001E71E0" w:rsidRDefault="001E71E0" w:rsidP="00B97018">
      <w:pPr>
        <w:rPr>
          <w:rFonts w:ascii="Gill Sans MT" w:hAnsi="Gill Sans MT"/>
          <w:b/>
          <w:bCs/>
          <w:u w:val="single"/>
        </w:rPr>
      </w:pPr>
    </w:p>
    <w:p w14:paraId="3BDDC47B" w14:textId="7FB0110A" w:rsidR="00B97018" w:rsidRPr="00B97018" w:rsidRDefault="00B97018" w:rsidP="00B97018">
      <w:pPr>
        <w:rPr>
          <w:rFonts w:ascii="Gill Sans MT" w:hAnsi="Gill Sans MT"/>
          <w:b/>
          <w:bCs/>
          <w:u w:val="single"/>
        </w:rPr>
      </w:pPr>
      <w:r w:rsidRPr="00B97018">
        <w:rPr>
          <w:rFonts w:ascii="Gill Sans MT" w:hAnsi="Gill Sans MT"/>
          <w:b/>
          <w:bCs/>
          <w:u w:val="single"/>
        </w:rPr>
        <w:t>Question:</w:t>
      </w:r>
    </w:p>
    <w:p w14:paraId="076D29B1" w14:textId="77777777" w:rsidR="001E71E0" w:rsidRDefault="00B97018" w:rsidP="00B97018">
      <w:pPr>
        <w:rPr>
          <w:rFonts w:ascii="Gill Sans MT" w:hAnsi="Gill Sans MT"/>
          <w:bCs/>
          <w:color w:val="333333"/>
          <w:szCs w:val="40"/>
        </w:rPr>
      </w:pPr>
      <w:r w:rsidRPr="001E71E0">
        <w:rPr>
          <w:rFonts w:ascii="Gill Sans MT" w:hAnsi="Gill Sans MT"/>
          <w:bCs/>
          <w:color w:val="333333"/>
          <w:szCs w:val="40"/>
        </w:rPr>
        <w:t xml:space="preserve">With reference to the extract, assess two factors which influence consumer expenditure. </w:t>
      </w:r>
    </w:p>
    <w:p w14:paraId="45C7819E" w14:textId="0362FC13" w:rsidR="00B97018" w:rsidRPr="001E71E0" w:rsidRDefault="00B97018" w:rsidP="001E71E0">
      <w:pPr>
        <w:jc w:val="right"/>
        <w:rPr>
          <w:rFonts w:ascii="Gill Sans MT" w:hAnsi="Gill Sans MT"/>
          <w:bCs/>
          <w:color w:val="333333"/>
          <w:szCs w:val="40"/>
        </w:rPr>
      </w:pPr>
      <w:r w:rsidRPr="001E71E0">
        <w:rPr>
          <w:rFonts w:ascii="Gill Sans MT" w:hAnsi="Gill Sans MT"/>
          <w:bCs/>
          <w:color w:val="333333"/>
          <w:szCs w:val="40"/>
        </w:rPr>
        <w:t xml:space="preserve">[10] </w:t>
      </w:r>
    </w:p>
    <w:p w14:paraId="13B7C27C" w14:textId="77777777" w:rsidR="006D45C1" w:rsidRPr="00E34C6C" w:rsidRDefault="006D45C1" w:rsidP="006D45C1">
      <w:pPr>
        <w:rPr>
          <w:bCs/>
          <w:i/>
          <w:iCs/>
          <w:szCs w:val="40"/>
        </w:rPr>
      </w:pPr>
    </w:p>
    <w:p w14:paraId="4C1C4ABE" w14:textId="614CB9C9" w:rsidR="000D020A" w:rsidRDefault="000D020A" w:rsidP="000D020A">
      <w:pPr>
        <w:rPr>
          <w:b/>
          <w:szCs w:val="40"/>
          <w:u w:val="single"/>
        </w:rPr>
      </w:pPr>
    </w:p>
    <w:p w14:paraId="57803F17" w14:textId="6E0144D9" w:rsidR="001E71E0" w:rsidRDefault="001E71E0">
      <w:pPr>
        <w:rPr>
          <w:b/>
          <w:szCs w:val="40"/>
          <w:u w:val="single"/>
        </w:rPr>
      </w:pPr>
      <w:r>
        <w:rPr>
          <w:b/>
          <w:szCs w:val="40"/>
          <w:u w:val="single"/>
        </w:rPr>
        <w:br w:type="page"/>
      </w:r>
    </w:p>
    <w:p w14:paraId="41BB1D76" w14:textId="79BAC0D3" w:rsidR="001E71E0" w:rsidRPr="001E71E0" w:rsidRDefault="001E71E0" w:rsidP="001E71E0">
      <w:pPr>
        <w:rPr>
          <w:rFonts w:ascii="Gill Sans MT" w:hAnsi="Gill Sans MT"/>
          <w:bCs/>
          <w:color w:val="333333"/>
          <w:szCs w:val="40"/>
        </w:rPr>
      </w:pPr>
      <w:r w:rsidRPr="001E71E0">
        <w:rPr>
          <w:b/>
          <w:color w:val="333333"/>
          <w:szCs w:val="40"/>
          <w:u w:val="single"/>
        </w:rPr>
        <w:lastRenderedPageBreak/>
        <w:t>Question:</w:t>
      </w:r>
      <w:r>
        <w:rPr>
          <w:bCs/>
          <w:color w:val="333333"/>
          <w:szCs w:val="40"/>
        </w:rPr>
        <w:t xml:space="preserve"> </w:t>
      </w:r>
      <w:r w:rsidRPr="001E71E0">
        <w:rPr>
          <w:rFonts w:ascii="Gill Sans MT" w:hAnsi="Gill Sans MT"/>
          <w:bCs/>
          <w:color w:val="333333"/>
          <w:szCs w:val="40"/>
        </w:rPr>
        <w:t xml:space="preserve">With reference to the extract, assess two factors which influence consumer expenditure. </w:t>
      </w:r>
      <w:r>
        <w:rPr>
          <w:rFonts w:ascii="Gill Sans MT" w:hAnsi="Gill Sans MT"/>
          <w:bCs/>
          <w:color w:val="333333"/>
          <w:szCs w:val="40"/>
        </w:rPr>
        <w:tab/>
      </w:r>
      <w:r>
        <w:rPr>
          <w:rFonts w:ascii="Gill Sans MT" w:hAnsi="Gill Sans MT"/>
          <w:bCs/>
          <w:color w:val="333333"/>
          <w:szCs w:val="40"/>
        </w:rPr>
        <w:tab/>
        <w:t>[10]</w:t>
      </w:r>
    </w:p>
    <w:tbl>
      <w:tblPr>
        <w:tblStyle w:val="TableGrid"/>
        <w:tblpPr w:leftFromText="180" w:rightFromText="180" w:vertAnchor="page" w:horzAnchor="margin" w:tblpY="1842"/>
        <w:tblW w:w="10617" w:type="dxa"/>
        <w:tblLook w:val="0420" w:firstRow="1" w:lastRow="0" w:firstColumn="0" w:lastColumn="0" w:noHBand="0" w:noVBand="1"/>
      </w:tblPr>
      <w:tblGrid>
        <w:gridCol w:w="2288"/>
        <w:gridCol w:w="8329"/>
      </w:tblGrid>
      <w:tr w:rsidR="001E71E0" w:rsidRPr="009B2154" w14:paraId="1740F88B" w14:textId="77777777" w:rsidTr="001E71E0">
        <w:trPr>
          <w:trHeight w:val="582"/>
        </w:trPr>
        <w:tc>
          <w:tcPr>
            <w:tcW w:w="10617" w:type="dxa"/>
            <w:gridSpan w:val="2"/>
            <w:hideMark/>
          </w:tcPr>
          <w:p w14:paraId="523D5DB6"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(6); 2 Eval points (</w:t>
            </w:r>
            <w:r>
              <w:rPr>
                <w:rFonts w:ascii="Gill Sans MT" w:hAnsi="Gill Sans MT"/>
                <w:b/>
                <w:bCs/>
                <w:sz w:val="20"/>
                <w:szCs w:val="20"/>
              </w:rPr>
              <w:t>4</w:t>
            </w:r>
            <w:r w:rsidRPr="009B2154">
              <w:rPr>
                <w:rFonts w:ascii="Gill Sans MT" w:hAnsi="Gill Sans MT"/>
                <w:b/>
                <w:bCs/>
                <w:sz w:val="20"/>
                <w:szCs w:val="20"/>
              </w:rPr>
              <w:t xml:space="preserve">) with a conclusion </w:t>
            </w:r>
          </w:p>
        </w:tc>
      </w:tr>
      <w:tr w:rsidR="001E71E0" w:rsidRPr="009B2154" w14:paraId="2C615A90" w14:textId="77777777" w:rsidTr="001E71E0">
        <w:trPr>
          <w:trHeight w:val="1017"/>
        </w:trPr>
        <w:tc>
          <w:tcPr>
            <w:tcW w:w="2288" w:type="dxa"/>
            <w:tcBorders>
              <w:top w:val="single" w:sz="18" w:space="0" w:color="auto"/>
            </w:tcBorders>
            <w:hideMark/>
          </w:tcPr>
          <w:p w14:paraId="328BB5C7"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28" w:type="dxa"/>
            <w:tcBorders>
              <w:top w:val="single" w:sz="18" w:space="0" w:color="auto"/>
            </w:tcBorders>
            <w:hideMark/>
          </w:tcPr>
          <w:p w14:paraId="34C95F7F" w14:textId="77777777" w:rsidR="001E71E0" w:rsidRPr="009B2154" w:rsidRDefault="001E71E0" w:rsidP="001E71E0">
            <w:pPr>
              <w:spacing w:after="160" w:line="259" w:lineRule="auto"/>
              <w:rPr>
                <w:rFonts w:ascii="Gill Sans MT" w:hAnsi="Gill Sans MT"/>
                <w:sz w:val="20"/>
                <w:szCs w:val="20"/>
              </w:rPr>
            </w:pPr>
          </w:p>
        </w:tc>
      </w:tr>
      <w:tr w:rsidR="001E71E0" w:rsidRPr="009B2154" w14:paraId="7295F84C" w14:textId="77777777" w:rsidTr="001E71E0">
        <w:trPr>
          <w:trHeight w:val="1017"/>
        </w:trPr>
        <w:tc>
          <w:tcPr>
            <w:tcW w:w="2288" w:type="dxa"/>
            <w:hideMark/>
          </w:tcPr>
          <w:p w14:paraId="2DDC0E78"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sz w:val="20"/>
                <w:szCs w:val="20"/>
              </w:rPr>
              <w:t>Application</w:t>
            </w:r>
          </w:p>
        </w:tc>
        <w:tc>
          <w:tcPr>
            <w:tcW w:w="8328" w:type="dxa"/>
            <w:hideMark/>
          </w:tcPr>
          <w:p w14:paraId="6E23E85C" w14:textId="77777777" w:rsidR="001E71E0" w:rsidRPr="009B2154" w:rsidRDefault="001E71E0" w:rsidP="001E71E0">
            <w:pPr>
              <w:spacing w:after="160" w:line="259" w:lineRule="auto"/>
              <w:rPr>
                <w:rFonts w:ascii="Gill Sans MT" w:hAnsi="Gill Sans MT"/>
                <w:sz w:val="20"/>
                <w:szCs w:val="20"/>
              </w:rPr>
            </w:pPr>
          </w:p>
        </w:tc>
      </w:tr>
      <w:tr w:rsidR="001E71E0" w:rsidRPr="009B2154" w14:paraId="2F1989F4" w14:textId="77777777" w:rsidTr="001E71E0">
        <w:trPr>
          <w:trHeight w:val="1633"/>
        </w:trPr>
        <w:tc>
          <w:tcPr>
            <w:tcW w:w="2288" w:type="dxa"/>
            <w:hideMark/>
          </w:tcPr>
          <w:p w14:paraId="7E636495" w14:textId="77777777" w:rsidR="001E71E0" w:rsidRDefault="001E71E0" w:rsidP="001E71E0">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46169466" w14:textId="77777777" w:rsidR="001E71E0" w:rsidRDefault="001E71E0" w:rsidP="001E71E0">
            <w:pPr>
              <w:spacing w:after="160" w:line="259" w:lineRule="auto"/>
              <w:rPr>
                <w:rFonts w:ascii="Gill Sans MT" w:hAnsi="Gill Sans MT"/>
                <w:sz w:val="20"/>
                <w:szCs w:val="20"/>
              </w:rPr>
            </w:pPr>
          </w:p>
          <w:p w14:paraId="6B47F906" w14:textId="77777777" w:rsidR="001E71E0" w:rsidRDefault="001E71E0" w:rsidP="001E71E0">
            <w:pPr>
              <w:spacing w:after="160" w:line="259" w:lineRule="auto"/>
              <w:rPr>
                <w:rFonts w:ascii="Gill Sans MT" w:hAnsi="Gill Sans MT"/>
                <w:sz w:val="20"/>
                <w:szCs w:val="20"/>
              </w:rPr>
            </w:pPr>
          </w:p>
          <w:p w14:paraId="43295191" w14:textId="77777777" w:rsidR="001E71E0" w:rsidRDefault="001E71E0" w:rsidP="001E71E0">
            <w:pPr>
              <w:spacing w:after="160" w:line="259" w:lineRule="auto"/>
              <w:rPr>
                <w:rFonts w:ascii="Gill Sans MT" w:hAnsi="Gill Sans MT"/>
                <w:sz w:val="20"/>
                <w:szCs w:val="20"/>
              </w:rPr>
            </w:pPr>
          </w:p>
          <w:p w14:paraId="232B0138" w14:textId="77777777" w:rsidR="001E71E0" w:rsidRPr="009B2154" w:rsidRDefault="001E71E0" w:rsidP="001E71E0">
            <w:pPr>
              <w:spacing w:after="160" w:line="259" w:lineRule="auto"/>
              <w:rPr>
                <w:rFonts w:ascii="Gill Sans MT" w:hAnsi="Gill Sans MT"/>
                <w:sz w:val="20"/>
                <w:szCs w:val="20"/>
              </w:rPr>
            </w:pPr>
          </w:p>
        </w:tc>
        <w:tc>
          <w:tcPr>
            <w:tcW w:w="8328" w:type="dxa"/>
            <w:hideMark/>
          </w:tcPr>
          <w:p w14:paraId="43DA7724" w14:textId="77777777" w:rsidR="001E71E0" w:rsidRPr="009B2154" w:rsidRDefault="001E71E0" w:rsidP="001E71E0">
            <w:pPr>
              <w:spacing w:after="160" w:line="259" w:lineRule="auto"/>
              <w:rPr>
                <w:rFonts w:ascii="Gill Sans MT" w:hAnsi="Gill Sans MT"/>
                <w:sz w:val="20"/>
                <w:szCs w:val="20"/>
              </w:rPr>
            </w:pPr>
          </w:p>
        </w:tc>
      </w:tr>
      <w:tr w:rsidR="001E71E0" w:rsidRPr="009B2154" w14:paraId="6B684095" w14:textId="77777777" w:rsidTr="001E71E0">
        <w:trPr>
          <w:trHeight w:val="1756"/>
        </w:trPr>
        <w:tc>
          <w:tcPr>
            <w:tcW w:w="2288" w:type="dxa"/>
            <w:hideMark/>
          </w:tcPr>
          <w:p w14:paraId="01CE225F"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28" w:type="dxa"/>
            <w:hideMark/>
          </w:tcPr>
          <w:p w14:paraId="5C0949FC" w14:textId="77777777" w:rsidR="001E71E0" w:rsidRPr="009B2154" w:rsidRDefault="001E71E0" w:rsidP="001E71E0">
            <w:pPr>
              <w:spacing w:after="160" w:line="259" w:lineRule="auto"/>
              <w:rPr>
                <w:rFonts w:ascii="Gill Sans MT" w:hAnsi="Gill Sans MT"/>
                <w:sz w:val="20"/>
                <w:szCs w:val="20"/>
              </w:rPr>
            </w:pPr>
          </w:p>
        </w:tc>
      </w:tr>
      <w:tr w:rsidR="001E71E0" w:rsidRPr="009B2154" w14:paraId="353F7DAF" w14:textId="77777777" w:rsidTr="001E71E0">
        <w:trPr>
          <w:trHeight w:val="1017"/>
        </w:trPr>
        <w:tc>
          <w:tcPr>
            <w:tcW w:w="2288" w:type="dxa"/>
            <w:tcBorders>
              <w:bottom w:val="single" w:sz="18" w:space="0" w:color="auto"/>
            </w:tcBorders>
            <w:hideMark/>
          </w:tcPr>
          <w:p w14:paraId="19828486"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28" w:type="dxa"/>
            <w:tcBorders>
              <w:bottom w:val="single" w:sz="18" w:space="0" w:color="auto"/>
            </w:tcBorders>
            <w:hideMark/>
          </w:tcPr>
          <w:p w14:paraId="3F22CDD7" w14:textId="77777777" w:rsidR="001E71E0" w:rsidRPr="009B2154" w:rsidRDefault="001E71E0" w:rsidP="001E71E0">
            <w:pPr>
              <w:spacing w:after="160" w:line="259" w:lineRule="auto"/>
              <w:rPr>
                <w:rFonts w:ascii="Gill Sans MT" w:hAnsi="Gill Sans MT"/>
                <w:sz w:val="20"/>
                <w:szCs w:val="20"/>
              </w:rPr>
            </w:pPr>
          </w:p>
        </w:tc>
      </w:tr>
      <w:tr w:rsidR="001E71E0" w:rsidRPr="009B2154" w14:paraId="1AAA8E71" w14:textId="77777777" w:rsidTr="001E71E0">
        <w:trPr>
          <w:trHeight w:val="1017"/>
        </w:trPr>
        <w:tc>
          <w:tcPr>
            <w:tcW w:w="2288" w:type="dxa"/>
            <w:tcBorders>
              <w:top w:val="single" w:sz="18" w:space="0" w:color="auto"/>
            </w:tcBorders>
            <w:hideMark/>
          </w:tcPr>
          <w:p w14:paraId="5FC56E7A"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28" w:type="dxa"/>
            <w:tcBorders>
              <w:top w:val="single" w:sz="18" w:space="0" w:color="auto"/>
            </w:tcBorders>
            <w:hideMark/>
          </w:tcPr>
          <w:p w14:paraId="342C183C" w14:textId="77777777" w:rsidR="001E71E0" w:rsidRPr="009B2154" w:rsidRDefault="001E71E0" w:rsidP="001E71E0">
            <w:pPr>
              <w:spacing w:after="160" w:line="259" w:lineRule="auto"/>
              <w:rPr>
                <w:rFonts w:ascii="Gill Sans MT" w:hAnsi="Gill Sans MT"/>
                <w:sz w:val="20"/>
                <w:szCs w:val="20"/>
              </w:rPr>
            </w:pPr>
          </w:p>
        </w:tc>
      </w:tr>
      <w:tr w:rsidR="001E71E0" w:rsidRPr="009B2154" w14:paraId="6E4D5E89" w14:textId="77777777" w:rsidTr="001E71E0">
        <w:trPr>
          <w:trHeight w:val="1017"/>
        </w:trPr>
        <w:tc>
          <w:tcPr>
            <w:tcW w:w="2288" w:type="dxa"/>
            <w:hideMark/>
          </w:tcPr>
          <w:p w14:paraId="1C2733F5"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sz w:val="20"/>
                <w:szCs w:val="20"/>
              </w:rPr>
              <w:t>Application</w:t>
            </w:r>
          </w:p>
        </w:tc>
        <w:tc>
          <w:tcPr>
            <w:tcW w:w="8328" w:type="dxa"/>
            <w:hideMark/>
          </w:tcPr>
          <w:p w14:paraId="27010C9B" w14:textId="77777777" w:rsidR="001E71E0" w:rsidRPr="009B2154" w:rsidRDefault="001E71E0" w:rsidP="001E71E0">
            <w:pPr>
              <w:spacing w:after="160" w:line="259" w:lineRule="auto"/>
              <w:rPr>
                <w:rFonts w:ascii="Gill Sans MT" w:hAnsi="Gill Sans MT"/>
                <w:sz w:val="20"/>
                <w:szCs w:val="20"/>
              </w:rPr>
            </w:pPr>
          </w:p>
        </w:tc>
      </w:tr>
      <w:tr w:rsidR="001E71E0" w:rsidRPr="009B2154" w14:paraId="55E8A080" w14:textId="77777777" w:rsidTr="001E71E0">
        <w:trPr>
          <w:trHeight w:val="1642"/>
        </w:trPr>
        <w:tc>
          <w:tcPr>
            <w:tcW w:w="2288" w:type="dxa"/>
            <w:hideMark/>
          </w:tcPr>
          <w:p w14:paraId="2930B1DF" w14:textId="77777777" w:rsidR="001E71E0" w:rsidRDefault="001E71E0" w:rsidP="001E71E0">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4C24747A" w14:textId="77777777" w:rsidR="001E71E0" w:rsidRDefault="001E71E0" w:rsidP="001E71E0">
            <w:pPr>
              <w:spacing w:after="160" w:line="259" w:lineRule="auto"/>
              <w:rPr>
                <w:rFonts w:ascii="Gill Sans MT" w:hAnsi="Gill Sans MT"/>
                <w:sz w:val="20"/>
                <w:szCs w:val="20"/>
              </w:rPr>
            </w:pPr>
          </w:p>
          <w:p w14:paraId="2D955C90" w14:textId="77777777" w:rsidR="001E71E0" w:rsidRDefault="001E71E0" w:rsidP="001E71E0">
            <w:pPr>
              <w:spacing w:after="160" w:line="259" w:lineRule="auto"/>
              <w:rPr>
                <w:rFonts w:ascii="Gill Sans MT" w:hAnsi="Gill Sans MT"/>
                <w:sz w:val="20"/>
                <w:szCs w:val="20"/>
              </w:rPr>
            </w:pPr>
          </w:p>
          <w:p w14:paraId="560CDDE6" w14:textId="77777777" w:rsidR="001E71E0" w:rsidRDefault="001E71E0" w:rsidP="001E71E0">
            <w:pPr>
              <w:spacing w:after="160" w:line="259" w:lineRule="auto"/>
              <w:rPr>
                <w:rFonts w:ascii="Gill Sans MT" w:hAnsi="Gill Sans MT"/>
                <w:sz w:val="20"/>
                <w:szCs w:val="20"/>
              </w:rPr>
            </w:pPr>
          </w:p>
          <w:p w14:paraId="46A99560" w14:textId="77777777" w:rsidR="001E71E0" w:rsidRPr="009B2154" w:rsidRDefault="001E71E0" w:rsidP="001E71E0">
            <w:pPr>
              <w:spacing w:after="160" w:line="259" w:lineRule="auto"/>
              <w:rPr>
                <w:rFonts w:ascii="Gill Sans MT" w:hAnsi="Gill Sans MT"/>
                <w:sz w:val="20"/>
                <w:szCs w:val="20"/>
              </w:rPr>
            </w:pPr>
          </w:p>
        </w:tc>
        <w:tc>
          <w:tcPr>
            <w:tcW w:w="8328" w:type="dxa"/>
            <w:hideMark/>
          </w:tcPr>
          <w:p w14:paraId="72D44F06" w14:textId="77777777" w:rsidR="001E71E0" w:rsidRPr="009B2154" w:rsidRDefault="001E71E0" w:rsidP="001E71E0">
            <w:pPr>
              <w:spacing w:after="160" w:line="259" w:lineRule="auto"/>
              <w:rPr>
                <w:rFonts w:ascii="Gill Sans MT" w:hAnsi="Gill Sans MT"/>
                <w:sz w:val="20"/>
                <w:szCs w:val="20"/>
              </w:rPr>
            </w:pPr>
          </w:p>
        </w:tc>
      </w:tr>
      <w:tr w:rsidR="001E71E0" w:rsidRPr="009B2154" w14:paraId="5531618F" w14:textId="77777777" w:rsidTr="001E71E0">
        <w:trPr>
          <w:trHeight w:val="1756"/>
        </w:trPr>
        <w:tc>
          <w:tcPr>
            <w:tcW w:w="2288" w:type="dxa"/>
            <w:hideMark/>
          </w:tcPr>
          <w:p w14:paraId="58622A23"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28" w:type="dxa"/>
            <w:hideMark/>
          </w:tcPr>
          <w:p w14:paraId="48F7602C" w14:textId="77777777" w:rsidR="001E71E0" w:rsidRPr="009B2154" w:rsidRDefault="001E71E0" w:rsidP="001E71E0">
            <w:pPr>
              <w:spacing w:after="160" w:line="259" w:lineRule="auto"/>
              <w:rPr>
                <w:rFonts w:ascii="Gill Sans MT" w:hAnsi="Gill Sans MT"/>
                <w:sz w:val="20"/>
                <w:szCs w:val="20"/>
              </w:rPr>
            </w:pPr>
          </w:p>
        </w:tc>
      </w:tr>
      <w:tr w:rsidR="001E71E0" w:rsidRPr="009B2154" w14:paraId="1193774E" w14:textId="77777777" w:rsidTr="001E71E0">
        <w:trPr>
          <w:trHeight w:val="1017"/>
        </w:trPr>
        <w:tc>
          <w:tcPr>
            <w:tcW w:w="2288" w:type="dxa"/>
            <w:tcBorders>
              <w:bottom w:val="single" w:sz="18" w:space="0" w:color="auto"/>
            </w:tcBorders>
            <w:hideMark/>
          </w:tcPr>
          <w:p w14:paraId="6278822A" w14:textId="77777777" w:rsidR="001E71E0" w:rsidRPr="009B2154" w:rsidRDefault="001E71E0" w:rsidP="001E71E0">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28" w:type="dxa"/>
            <w:tcBorders>
              <w:bottom w:val="single" w:sz="18" w:space="0" w:color="auto"/>
            </w:tcBorders>
            <w:hideMark/>
          </w:tcPr>
          <w:p w14:paraId="44266F95" w14:textId="77777777" w:rsidR="001E71E0" w:rsidRPr="009B2154" w:rsidRDefault="001E71E0" w:rsidP="001E71E0">
            <w:pPr>
              <w:spacing w:after="160" w:line="259" w:lineRule="auto"/>
              <w:rPr>
                <w:rFonts w:ascii="Gill Sans MT" w:hAnsi="Gill Sans MT"/>
                <w:sz w:val="20"/>
                <w:szCs w:val="20"/>
              </w:rPr>
            </w:pPr>
          </w:p>
        </w:tc>
      </w:tr>
    </w:tbl>
    <w:p w14:paraId="0262800D" w14:textId="77777777" w:rsidR="001E71E0" w:rsidRPr="000D020A" w:rsidRDefault="001E71E0" w:rsidP="000D020A">
      <w:pPr>
        <w:rPr>
          <w:bCs/>
          <w:color w:val="333333"/>
          <w:szCs w:val="40"/>
        </w:rPr>
      </w:pPr>
    </w:p>
    <w:sectPr w:rsidR="001E71E0" w:rsidRPr="000D020A" w:rsidSect="00A731F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571B" w14:textId="77777777" w:rsidR="00F24DE3" w:rsidRDefault="00F24DE3" w:rsidP="00175D2B">
      <w:pPr>
        <w:spacing w:after="0" w:line="240" w:lineRule="auto"/>
      </w:pPr>
      <w:r>
        <w:separator/>
      </w:r>
    </w:p>
  </w:endnote>
  <w:endnote w:type="continuationSeparator" w:id="0">
    <w:p w14:paraId="79A462B6" w14:textId="77777777" w:rsidR="00F24DE3" w:rsidRDefault="00F24DE3"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1DEA" w14:textId="77777777" w:rsidR="003B7E2F" w:rsidRDefault="003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B097" w14:textId="77777777" w:rsidR="00175D2B" w:rsidRDefault="00175D2B">
    <w:pPr>
      <w:pStyle w:val="Footer"/>
    </w:pPr>
    <w:r>
      <w:t xml:space="preserve">Find more resources at </w:t>
    </w:r>
    <w:hyperlink r:id="rId1" w:history="1">
      <w:r w:rsidRPr="005B4D6D">
        <w:rPr>
          <w:rStyle w:val="Hyperlink"/>
        </w:rPr>
        <w:t>www.smootheconomics.co.uk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54DC" w14:textId="77777777" w:rsidR="003B7E2F" w:rsidRDefault="003B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3DF88" w14:textId="77777777" w:rsidR="00F24DE3" w:rsidRDefault="00F24DE3" w:rsidP="00175D2B">
      <w:pPr>
        <w:spacing w:after="0" w:line="240" w:lineRule="auto"/>
      </w:pPr>
      <w:r>
        <w:separator/>
      </w:r>
    </w:p>
  </w:footnote>
  <w:footnote w:type="continuationSeparator" w:id="0">
    <w:p w14:paraId="67E3D4F9" w14:textId="77777777" w:rsidR="00F24DE3" w:rsidRDefault="00F24DE3"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6913" w14:textId="77777777" w:rsidR="003B7E2F" w:rsidRDefault="003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0B09162C" w:rsidR="00175D2B" w:rsidRDefault="003B7E2F">
    <w:pPr>
      <w:pStyle w:val="Header"/>
    </w:pPr>
    <w:r>
      <w:t>M</w:t>
    </w:r>
    <w:r w:rsidR="000D020A">
      <w:t>a</w:t>
    </w:r>
    <w:r>
      <w:t xml:space="preserve">cro </w:t>
    </w:r>
    <w:r w:rsidR="000D020A">
      <w:t>L</w:t>
    </w:r>
    <w:r>
      <w:t>6th</w:t>
    </w:r>
    <w:r>
      <w:tab/>
    </w:r>
    <w:r>
      <w:ptab w:relativeTo="margin" w:alignment="center" w:leader="none"/>
    </w:r>
    <w:r>
      <w:t>Workbook</w:t>
    </w:r>
    <w:r>
      <w:ptab w:relativeTo="margin" w:alignment="right" w:leader="none"/>
    </w:r>
    <w:r>
      <w:t>Name………………………..………….</w:t>
    </w:r>
  </w:p>
  <w:p w14:paraId="3C2226E1" w14:textId="77777777" w:rsidR="00175D2B" w:rsidRDefault="0017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6C0" w14:textId="77777777" w:rsidR="003B7E2F" w:rsidRDefault="003B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A423F2"/>
    <w:multiLevelType w:val="hybridMultilevel"/>
    <w:tmpl w:val="4E76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20200"/>
    <w:rsid w:val="000D020A"/>
    <w:rsid w:val="00175D2B"/>
    <w:rsid w:val="001E71E0"/>
    <w:rsid w:val="003A2353"/>
    <w:rsid w:val="003B7E2F"/>
    <w:rsid w:val="003C6CA5"/>
    <w:rsid w:val="00663893"/>
    <w:rsid w:val="006D45C1"/>
    <w:rsid w:val="00820CD9"/>
    <w:rsid w:val="00A731F9"/>
    <w:rsid w:val="00A75634"/>
    <w:rsid w:val="00A84DCE"/>
    <w:rsid w:val="00AB4D14"/>
    <w:rsid w:val="00AD7788"/>
    <w:rsid w:val="00B0687D"/>
    <w:rsid w:val="00B63C53"/>
    <w:rsid w:val="00B97018"/>
    <w:rsid w:val="00C46E79"/>
    <w:rsid w:val="00CE2ABF"/>
    <w:rsid w:val="00CE3B83"/>
    <w:rsid w:val="00D75B14"/>
    <w:rsid w:val="00EB675F"/>
    <w:rsid w:val="00EC3C03"/>
    <w:rsid w:val="00F24DE3"/>
    <w:rsid w:val="00F4226E"/>
    <w:rsid w:val="00F616D6"/>
    <w:rsid w:val="00F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427192890">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795563462">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364751205">
      <w:bodyDiv w:val="1"/>
      <w:marLeft w:val="0"/>
      <w:marRight w:val="0"/>
      <w:marTop w:val="0"/>
      <w:marBottom w:val="0"/>
      <w:divBdr>
        <w:top w:val="none" w:sz="0" w:space="0" w:color="auto"/>
        <w:left w:val="none" w:sz="0" w:space="0" w:color="auto"/>
        <w:bottom w:val="none" w:sz="0" w:space="0" w:color="auto"/>
        <w:right w:val="none" w:sz="0" w:space="0" w:color="auto"/>
      </w:divBdr>
    </w:div>
    <w:div w:id="1408306944">
      <w:bodyDiv w:val="1"/>
      <w:marLeft w:val="0"/>
      <w:marRight w:val="0"/>
      <w:marTop w:val="0"/>
      <w:marBottom w:val="0"/>
      <w:divBdr>
        <w:top w:val="none" w:sz="0" w:space="0" w:color="auto"/>
        <w:left w:val="none" w:sz="0" w:space="0" w:color="auto"/>
        <w:bottom w:val="none" w:sz="0" w:space="0" w:color="auto"/>
        <w:right w:val="none" w:sz="0" w:space="0" w:color="auto"/>
      </w:divBdr>
    </w:div>
    <w:div w:id="1512178783">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mootheconomics.co.uk" TargetMode="Externa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11746</TotalTime>
  <Pages>6</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13</cp:revision>
  <dcterms:created xsi:type="dcterms:W3CDTF">2020-09-03T09:16:00Z</dcterms:created>
  <dcterms:modified xsi:type="dcterms:W3CDTF">2021-11-08T10:06:00Z</dcterms:modified>
</cp:coreProperties>
</file>